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A5" w:rsidRDefault="002B4F34" w:rsidP="008A6C6B">
      <w:pPr>
        <w:spacing w:line="240" w:lineRule="auto"/>
        <w:contextualSpacing/>
        <w:rPr>
          <w:rFonts w:ascii="Palatino Linotype" w:hAnsi="Palatino Linotype"/>
          <w:sz w:val="24"/>
          <w:szCs w:val="24"/>
        </w:rPr>
      </w:pPr>
      <w:r>
        <w:rPr>
          <w:rFonts w:ascii="Palatino Linotype" w:hAnsi="Palatino Linotype"/>
          <w:sz w:val="24"/>
          <w:szCs w:val="24"/>
        </w:rPr>
        <w:t>Date:</w:t>
      </w:r>
      <w:r>
        <w:rPr>
          <w:rFonts w:ascii="Palatino Linotype" w:hAnsi="Palatino Linotype"/>
          <w:sz w:val="24"/>
          <w:szCs w:val="24"/>
        </w:rPr>
        <w:tab/>
      </w:r>
      <w:r>
        <w:rPr>
          <w:rFonts w:ascii="Palatino Linotype" w:hAnsi="Palatino Linotype"/>
          <w:sz w:val="24"/>
          <w:szCs w:val="24"/>
        </w:rPr>
        <w:tab/>
        <w:t>September 1, 2015</w:t>
      </w:r>
    </w:p>
    <w:p w:rsidR="002B4F34" w:rsidRDefault="002B4F34" w:rsidP="008A6C6B">
      <w:pPr>
        <w:spacing w:line="240" w:lineRule="auto"/>
        <w:contextualSpacing/>
        <w:rPr>
          <w:rFonts w:ascii="Palatino Linotype" w:hAnsi="Palatino Linotype"/>
          <w:sz w:val="24"/>
          <w:szCs w:val="24"/>
        </w:rPr>
      </w:pPr>
    </w:p>
    <w:p w:rsidR="00B72FDE" w:rsidRDefault="002B4F34" w:rsidP="00B72FDE">
      <w:pPr>
        <w:spacing w:line="240" w:lineRule="auto"/>
        <w:contextualSpacing/>
        <w:rPr>
          <w:rFonts w:ascii="Palatino Linotype" w:hAnsi="Palatino Linotype"/>
          <w:sz w:val="24"/>
          <w:szCs w:val="24"/>
        </w:rPr>
      </w:pPr>
      <w:r>
        <w:rPr>
          <w:rFonts w:ascii="Palatino Linotype" w:hAnsi="Palatino Linotype"/>
          <w:sz w:val="24"/>
          <w:szCs w:val="24"/>
        </w:rPr>
        <w:t>To:</w:t>
      </w:r>
      <w:r>
        <w:rPr>
          <w:rFonts w:ascii="Palatino Linotype" w:hAnsi="Palatino Linotype"/>
          <w:sz w:val="24"/>
          <w:szCs w:val="24"/>
        </w:rPr>
        <w:tab/>
      </w:r>
      <w:r>
        <w:rPr>
          <w:rFonts w:ascii="Palatino Linotype" w:hAnsi="Palatino Linotype"/>
          <w:sz w:val="24"/>
          <w:szCs w:val="24"/>
        </w:rPr>
        <w:tab/>
      </w:r>
      <w:r w:rsidR="00B72FDE">
        <w:rPr>
          <w:rFonts w:ascii="Palatino Linotype" w:hAnsi="Palatino Linotype"/>
          <w:sz w:val="24"/>
          <w:szCs w:val="24"/>
        </w:rPr>
        <w:t>Mayor Marco A. Salvino, Sr.</w:t>
      </w:r>
    </w:p>
    <w:p w:rsidR="00B72FDE" w:rsidRDefault="00B72FDE" w:rsidP="00B72FDE">
      <w:pPr>
        <w:spacing w:line="240" w:lineRule="auto"/>
        <w:contextualSpacing/>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Vice Mayor Bobbie H. Grace</w:t>
      </w:r>
    </w:p>
    <w:p w:rsidR="00B72FDE" w:rsidRDefault="00B72FDE" w:rsidP="00B72FDE">
      <w:pPr>
        <w:spacing w:line="240" w:lineRule="auto"/>
        <w:contextualSpacing/>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Commissioner Chickie Brandimarte</w:t>
      </w:r>
    </w:p>
    <w:p w:rsidR="00B72FDE" w:rsidRDefault="00B72FDE" w:rsidP="00B72FDE">
      <w:pPr>
        <w:spacing w:line="240" w:lineRule="auto"/>
        <w:contextualSpacing/>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Commissioner Walter B. Duke, III</w:t>
      </w:r>
    </w:p>
    <w:p w:rsidR="00B72FDE" w:rsidRDefault="00B72FDE" w:rsidP="00B72FDE">
      <w:pPr>
        <w:spacing w:line="240" w:lineRule="auto"/>
        <w:contextualSpacing/>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Commissioner Albert C. Jones</w:t>
      </w:r>
    </w:p>
    <w:p w:rsidR="00034B87" w:rsidRDefault="00034B87" w:rsidP="002B4F34">
      <w:pPr>
        <w:spacing w:line="240" w:lineRule="auto"/>
        <w:contextualSpacing/>
        <w:rPr>
          <w:rFonts w:ascii="Palatino Linotype" w:hAnsi="Palatino Linotype"/>
          <w:sz w:val="24"/>
          <w:szCs w:val="24"/>
        </w:rPr>
      </w:pPr>
    </w:p>
    <w:p w:rsidR="002B4F34" w:rsidRDefault="00034B87" w:rsidP="002B4F34">
      <w:pPr>
        <w:spacing w:line="240" w:lineRule="auto"/>
        <w:contextualSpacing/>
        <w:rPr>
          <w:rFonts w:ascii="Palatino Linotype" w:hAnsi="Palatino Linotype"/>
          <w:sz w:val="24"/>
          <w:szCs w:val="24"/>
        </w:rPr>
      </w:pPr>
      <w:r>
        <w:rPr>
          <w:rFonts w:ascii="Palatino Linotype" w:hAnsi="Palatino Linotype"/>
          <w:sz w:val="24"/>
          <w:szCs w:val="24"/>
        </w:rPr>
        <w:t>Through:</w:t>
      </w:r>
      <w:r>
        <w:rPr>
          <w:rFonts w:ascii="Palatino Linotype" w:hAnsi="Palatino Linotype"/>
          <w:sz w:val="24"/>
          <w:szCs w:val="24"/>
        </w:rPr>
        <w:tab/>
      </w:r>
      <w:r w:rsidR="002B4F34">
        <w:rPr>
          <w:rFonts w:ascii="Palatino Linotype" w:hAnsi="Palatino Linotype"/>
          <w:sz w:val="24"/>
          <w:szCs w:val="24"/>
        </w:rPr>
        <w:t>Robert Baldwin, City Manager</w:t>
      </w:r>
    </w:p>
    <w:p w:rsidR="002B4F34" w:rsidRDefault="002B4F34" w:rsidP="002B4F34">
      <w:pPr>
        <w:spacing w:line="240" w:lineRule="auto"/>
        <w:contextualSpacing/>
        <w:rPr>
          <w:rFonts w:ascii="Palatino Linotype" w:hAnsi="Palatino Linotype"/>
          <w:sz w:val="24"/>
          <w:szCs w:val="24"/>
        </w:rPr>
      </w:pPr>
    </w:p>
    <w:p w:rsidR="002B4F34" w:rsidRDefault="002B4F34" w:rsidP="002B4F34">
      <w:pPr>
        <w:spacing w:line="240" w:lineRule="auto"/>
        <w:contextualSpacing/>
        <w:rPr>
          <w:rFonts w:ascii="Palatino Linotype" w:hAnsi="Palatino Linotype"/>
          <w:sz w:val="24"/>
          <w:szCs w:val="24"/>
        </w:rPr>
      </w:pPr>
      <w:r>
        <w:rPr>
          <w:rFonts w:ascii="Palatino Linotype" w:hAnsi="Palatino Linotype"/>
          <w:sz w:val="24"/>
          <w:szCs w:val="24"/>
        </w:rPr>
        <w:t>From:</w:t>
      </w:r>
      <w:r>
        <w:rPr>
          <w:rFonts w:ascii="Palatino Linotype" w:hAnsi="Palatino Linotype"/>
          <w:sz w:val="24"/>
          <w:szCs w:val="24"/>
        </w:rPr>
        <w:tab/>
      </w:r>
      <w:r>
        <w:rPr>
          <w:rFonts w:ascii="Palatino Linotype" w:hAnsi="Palatino Linotype"/>
          <w:sz w:val="24"/>
          <w:szCs w:val="24"/>
        </w:rPr>
        <w:tab/>
        <w:t>Proposal Review Committee</w:t>
      </w:r>
    </w:p>
    <w:p w:rsidR="002B4F34" w:rsidRDefault="002B4F34" w:rsidP="002B4F34">
      <w:pPr>
        <w:spacing w:line="240" w:lineRule="auto"/>
        <w:contextualSpacing/>
        <w:rPr>
          <w:rFonts w:ascii="Palatino Linotype" w:hAnsi="Palatino Linotype"/>
          <w:sz w:val="24"/>
          <w:szCs w:val="24"/>
        </w:rPr>
      </w:pPr>
    </w:p>
    <w:p w:rsidR="002B4F34" w:rsidRDefault="002B4F34" w:rsidP="002B4F34">
      <w:pPr>
        <w:spacing w:line="240" w:lineRule="auto"/>
        <w:contextualSpacing/>
        <w:rPr>
          <w:rFonts w:ascii="Palatino Linotype" w:hAnsi="Palatino Linotype"/>
          <w:sz w:val="24"/>
          <w:szCs w:val="24"/>
        </w:rPr>
      </w:pPr>
      <w:r>
        <w:rPr>
          <w:rFonts w:ascii="Palatino Linotype" w:hAnsi="Palatino Linotype"/>
          <w:sz w:val="24"/>
          <w:szCs w:val="24"/>
        </w:rPr>
        <w:t>Subject:</w:t>
      </w:r>
      <w:r>
        <w:rPr>
          <w:rFonts w:ascii="Palatino Linotype" w:hAnsi="Palatino Linotype"/>
          <w:sz w:val="24"/>
          <w:szCs w:val="24"/>
        </w:rPr>
        <w:tab/>
        <w:t>Residential Solid Waste Collection Services and Alternatives 1, 2 &amp; 3</w:t>
      </w:r>
    </w:p>
    <w:p w:rsidR="002B4F34" w:rsidRDefault="002B4F34" w:rsidP="002B4F34">
      <w:pPr>
        <w:pBdr>
          <w:bottom w:val="single" w:sz="12" w:space="1" w:color="auto"/>
        </w:pBdr>
        <w:spacing w:line="240" w:lineRule="auto"/>
        <w:contextualSpacing/>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Request for Proposals No. 15-010</w:t>
      </w:r>
    </w:p>
    <w:p w:rsidR="002B4F34" w:rsidRDefault="002B4F34" w:rsidP="002B4F34">
      <w:pPr>
        <w:spacing w:line="240" w:lineRule="auto"/>
        <w:contextualSpacing/>
        <w:rPr>
          <w:rFonts w:ascii="Palatino Linotype" w:hAnsi="Palatino Linotype"/>
          <w:sz w:val="24"/>
          <w:szCs w:val="24"/>
        </w:rPr>
      </w:pPr>
    </w:p>
    <w:p w:rsidR="002347F3" w:rsidRDefault="00D13ACD" w:rsidP="002B4F34">
      <w:pPr>
        <w:spacing w:line="240" w:lineRule="auto"/>
        <w:contextualSpacing/>
        <w:rPr>
          <w:rFonts w:ascii="Palatino Linotype" w:hAnsi="Palatino Linotype"/>
          <w:sz w:val="24"/>
          <w:szCs w:val="24"/>
          <w:u w:val="single"/>
        </w:rPr>
      </w:pPr>
      <w:r w:rsidRPr="00D13ACD">
        <w:rPr>
          <w:rFonts w:ascii="Palatino Linotype" w:hAnsi="Palatino Linotype"/>
          <w:sz w:val="24"/>
          <w:szCs w:val="24"/>
          <w:u w:val="single"/>
        </w:rPr>
        <w:t>Background</w:t>
      </w:r>
    </w:p>
    <w:p w:rsidR="00D13ACD" w:rsidRPr="00D13ACD" w:rsidRDefault="00D13ACD" w:rsidP="002B4F34">
      <w:pPr>
        <w:spacing w:line="240" w:lineRule="auto"/>
        <w:contextualSpacing/>
        <w:rPr>
          <w:rFonts w:ascii="Palatino Linotype" w:hAnsi="Palatino Linotype"/>
          <w:sz w:val="24"/>
          <w:szCs w:val="24"/>
          <w:u w:val="single"/>
        </w:rPr>
      </w:pPr>
    </w:p>
    <w:p w:rsidR="002347F3" w:rsidRPr="00D13ACD" w:rsidRDefault="00D13ACD" w:rsidP="00034B87">
      <w:pPr>
        <w:spacing w:line="240" w:lineRule="auto"/>
        <w:contextualSpacing/>
        <w:rPr>
          <w:rFonts w:ascii="Palatino Linotype" w:hAnsi="Palatino Linotype"/>
          <w:sz w:val="24"/>
          <w:szCs w:val="24"/>
        </w:rPr>
      </w:pPr>
      <w:r w:rsidRPr="00D13ACD">
        <w:rPr>
          <w:rFonts w:ascii="Palatino Linotype" w:hAnsi="Palatino Linotype"/>
          <w:sz w:val="24"/>
          <w:szCs w:val="24"/>
        </w:rPr>
        <w:t xml:space="preserve">The Solid Waste Collection Services Contract with Waste Management (WM) expires September 2015. The existing contract </w:t>
      </w:r>
      <w:r w:rsidR="00793F3E">
        <w:rPr>
          <w:rFonts w:ascii="Palatino Linotype" w:hAnsi="Palatino Linotype"/>
          <w:sz w:val="24"/>
          <w:szCs w:val="24"/>
        </w:rPr>
        <w:t xml:space="preserve">provides for </w:t>
      </w:r>
      <w:r w:rsidRPr="00D13ACD">
        <w:rPr>
          <w:rFonts w:ascii="Palatino Linotype" w:hAnsi="Palatino Linotype"/>
          <w:sz w:val="24"/>
          <w:szCs w:val="24"/>
        </w:rPr>
        <w:t xml:space="preserve">an extension option. Earlier this year, several meetings were held with Waste Management to discuss the option to extend the contract.  Waste Management indicated existing alleyway conditions </w:t>
      </w:r>
      <w:r w:rsidR="00793F3E" w:rsidRPr="00D13ACD">
        <w:rPr>
          <w:rFonts w:ascii="Palatino Linotype" w:hAnsi="Palatino Linotype"/>
          <w:sz w:val="24"/>
          <w:szCs w:val="24"/>
        </w:rPr>
        <w:t>ha</w:t>
      </w:r>
      <w:r w:rsidR="00793F3E">
        <w:rPr>
          <w:rFonts w:ascii="Palatino Linotype" w:hAnsi="Palatino Linotype"/>
          <w:sz w:val="24"/>
          <w:szCs w:val="24"/>
        </w:rPr>
        <w:t>d</w:t>
      </w:r>
      <w:r w:rsidR="00793F3E" w:rsidRPr="00D13ACD">
        <w:rPr>
          <w:rFonts w:ascii="Palatino Linotype" w:hAnsi="Palatino Linotype"/>
          <w:sz w:val="24"/>
          <w:szCs w:val="24"/>
        </w:rPr>
        <w:t xml:space="preserve"> </w:t>
      </w:r>
      <w:r w:rsidRPr="00D13ACD">
        <w:rPr>
          <w:rFonts w:ascii="Palatino Linotype" w:hAnsi="Palatino Linotype"/>
          <w:sz w:val="24"/>
          <w:szCs w:val="24"/>
        </w:rPr>
        <w:t>resulted in</w:t>
      </w:r>
      <w:r w:rsidR="00793F3E">
        <w:rPr>
          <w:rFonts w:ascii="Palatino Linotype" w:hAnsi="Palatino Linotype"/>
          <w:sz w:val="24"/>
          <w:szCs w:val="24"/>
        </w:rPr>
        <w:t xml:space="preserve"> increased</w:t>
      </w:r>
      <w:r w:rsidRPr="00D13ACD">
        <w:rPr>
          <w:rFonts w:ascii="Palatino Linotype" w:hAnsi="Palatino Linotype"/>
          <w:sz w:val="24"/>
          <w:szCs w:val="24"/>
        </w:rPr>
        <w:t xml:space="preserve"> equipment and labor </w:t>
      </w:r>
      <w:r w:rsidR="00411912" w:rsidRPr="00D13ACD">
        <w:rPr>
          <w:rFonts w:ascii="Palatino Linotype" w:hAnsi="Palatino Linotype"/>
          <w:sz w:val="24"/>
          <w:szCs w:val="24"/>
        </w:rPr>
        <w:t xml:space="preserve">costs. </w:t>
      </w:r>
      <w:r w:rsidR="00793F3E">
        <w:rPr>
          <w:rFonts w:ascii="Palatino Linotype" w:hAnsi="Palatino Linotype"/>
          <w:sz w:val="24"/>
          <w:szCs w:val="24"/>
        </w:rPr>
        <w:t xml:space="preserve">Due to the cost increase </w:t>
      </w:r>
      <w:r w:rsidRPr="00D13ACD">
        <w:rPr>
          <w:rFonts w:ascii="Palatino Linotype" w:hAnsi="Palatino Linotype"/>
          <w:sz w:val="24"/>
          <w:szCs w:val="24"/>
        </w:rPr>
        <w:t>Waste Management would not consider extending the contract at the same terms and definitely would not be able to provide the service without a considerable increase in the contract price.</w:t>
      </w:r>
    </w:p>
    <w:p w:rsidR="002347F3" w:rsidRDefault="002347F3" w:rsidP="002B4F34">
      <w:pPr>
        <w:spacing w:line="240" w:lineRule="auto"/>
        <w:contextualSpacing/>
        <w:rPr>
          <w:rFonts w:ascii="Palatino Linotype" w:hAnsi="Palatino Linotype"/>
          <w:sz w:val="24"/>
          <w:szCs w:val="24"/>
        </w:rPr>
      </w:pPr>
    </w:p>
    <w:p w:rsidR="00D13ACD" w:rsidRDefault="00867F5E" w:rsidP="00867F5E">
      <w:pPr>
        <w:spacing w:line="240" w:lineRule="auto"/>
        <w:contextualSpacing/>
        <w:rPr>
          <w:rFonts w:ascii="Palatino Linotype" w:hAnsi="Palatino Linotype"/>
          <w:sz w:val="24"/>
          <w:szCs w:val="24"/>
        </w:rPr>
      </w:pPr>
      <w:r>
        <w:rPr>
          <w:rFonts w:ascii="Palatino Linotype" w:hAnsi="Palatino Linotype"/>
          <w:sz w:val="24"/>
          <w:szCs w:val="24"/>
        </w:rPr>
        <w:t xml:space="preserve">The City Commission, upon the recommendation of the City Manager, approved seeking competitive proposals </w:t>
      </w:r>
      <w:r w:rsidR="00793F3E">
        <w:rPr>
          <w:rFonts w:ascii="Palatino Linotype" w:hAnsi="Palatino Linotype"/>
          <w:sz w:val="24"/>
          <w:szCs w:val="24"/>
        </w:rPr>
        <w:t xml:space="preserve">incorporating </w:t>
      </w:r>
      <w:r>
        <w:rPr>
          <w:rFonts w:ascii="Palatino Linotype" w:hAnsi="Palatino Linotype"/>
          <w:sz w:val="24"/>
          <w:szCs w:val="24"/>
        </w:rPr>
        <w:t xml:space="preserve">two changes to residential solid waste </w:t>
      </w:r>
      <w:proofErr w:type="gramStart"/>
      <w:r>
        <w:rPr>
          <w:rFonts w:ascii="Palatino Linotype" w:hAnsi="Palatino Linotype"/>
          <w:sz w:val="24"/>
          <w:szCs w:val="24"/>
        </w:rPr>
        <w:t>collection</w:t>
      </w:r>
      <w:proofErr w:type="gramEnd"/>
      <w:r>
        <w:rPr>
          <w:rFonts w:ascii="Palatino Linotype" w:hAnsi="Palatino Linotype"/>
          <w:sz w:val="24"/>
          <w:szCs w:val="24"/>
        </w:rPr>
        <w:t xml:space="preserve"> </w:t>
      </w:r>
      <w:r w:rsidR="00793F3E">
        <w:rPr>
          <w:rFonts w:ascii="Palatino Linotype" w:hAnsi="Palatino Linotype"/>
          <w:sz w:val="24"/>
          <w:szCs w:val="24"/>
        </w:rPr>
        <w:t xml:space="preserve">in an effort </w:t>
      </w:r>
      <w:r>
        <w:rPr>
          <w:rFonts w:ascii="Palatino Linotype" w:hAnsi="Palatino Linotype"/>
          <w:sz w:val="24"/>
          <w:szCs w:val="24"/>
        </w:rPr>
        <w:t xml:space="preserve">to lower residential rates: </w:t>
      </w:r>
    </w:p>
    <w:p w:rsidR="00867F5E" w:rsidRPr="00867F5E" w:rsidRDefault="00867F5E" w:rsidP="00867F5E">
      <w:pPr>
        <w:pStyle w:val="ListParagraph"/>
        <w:numPr>
          <w:ilvl w:val="0"/>
          <w:numId w:val="1"/>
        </w:numPr>
        <w:spacing w:line="240" w:lineRule="auto"/>
        <w:rPr>
          <w:rFonts w:ascii="Palatino Linotype" w:hAnsi="Palatino Linotype"/>
          <w:sz w:val="24"/>
          <w:szCs w:val="24"/>
        </w:rPr>
      </w:pPr>
      <w:r w:rsidRPr="00867F5E">
        <w:rPr>
          <w:rFonts w:ascii="Palatino Linotype" w:hAnsi="Palatino Linotype"/>
          <w:sz w:val="24"/>
          <w:szCs w:val="24"/>
        </w:rPr>
        <w:t>Mandate curbside only collection of garbage, bulk waste and yard waste</w:t>
      </w:r>
    </w:p>
    <w:p w:rsidR="00867F5E" w:rsidRDefault="00867F5E" w:rsidP="00867F5E">
      <w:pPr>
        <w:pStyle w:val="ListParagraph"/>
        <w:numPr>
          <w:ilvl w:val="0"/>
          <w:numId w:val="1"/>
        </w:numPr>
        <w:spacing w:line="240" w:lineRule="auto"/>
        <w:rPr>
          <w:rFonts w:ascii="Palatino Linotype" w:hAnsi="Palatino Linotype"/>
          <w:sz w:val="24"/>
          <w:szCs w:val="24"/>
        </w:rPr>
      </w:pPr>
      <w:r w:rsidRPr="00867F5E">
        <w:rPr>
          <w:rFonts w:ascii="Palatino Linotype" w:hAnsi="Palatino Linotype"/>
          <w:sz w:val="24"/>
          <w:szCs w:val="24"/>
        </w:rPr>
        <w:t>Include exclusive commercial service as part of the residential contract</w:t>
      </w:r>
    </w:p>
    <w:p w:rsidR="00B274E4" w:rsidRPr="00B274E4" w:rsidRDefault="00B274E4" w:rsidP="00B274E4">
      <w:pPr>
        <w:spacing w:line="240" w:lineRule="auto"/>
        <w:rPr>
          <w:rFonts w:ascii="Palatino Linotype" w:hAnsi="Palatino Linotype"/>
          <w:sz w:val="24"/>
          <w:szCs w:val="24"/>
          <w:u w:val="single"/>
        </w:rPr>
      </w:pPr>
      <w:r w:rsidRPr="00B274E4">
        <w:rPr>
          <w:rFonts w:ascii="Palatino Linotype" w:hAnsi="Palatino Linotype"/>
          <w:sz w:val="24"/>
          <w:szCs w:val="24"/>
          <w:u w:val="single"/>
        </w:rPr>
        <w:t>Process</w:t>
      </w:r>
    </w:p>
    <w:p w:rsidR="00A80116" w:rsidRDefault="00B274E4" w:rsidP="00A80116">
      <w:pPr>
        <w:spacing w:line="240" w:lineRule="auto"/>
        <w:contextualSpacing/>
        <w:rPr>
          <w:rFonts w:ascii="Palatino Linotype" w:hAnsi="Palatino Linotype"/>
          <w:sz w:val="24"/>
          <w:szCs w:val="24"/>
        </w:rPr>
      </w:pPr>
      <w:r>
        <w:rPr>
          <w:rFonts w:ascii="Palatino Linotype" w:hAnsi="Palatino Linotype"/>
          <w:sz w:val="24"/>
          <w:szCs w:val="24"/>
        </w:rPr>
        <w:t>The Public Services Department</w:t>
      </w:r>
      <w:r w:rsidR="00A80116">
        <w:rPr>
          <w:rFonts w:ascii="Palatino Linotype" w:hAnsi="Palatino Linotype"/>
          <w:sz w:val="24"/>
          <w:szCs w:val="24"/>
        </w:rPr>
        <w:t xml:space="preserve"> developed the RFP incorporati</w:t>
      </w:r>
      <w:r w:rsidR="00793F3E">
        <w:rPr>
          <w:rFonts w:ascii="Palatino Linotype" w:hAnsi="Palatino Linotype"/>
          <w:sz w:val="24"/>
          <w:szCs w:val="24"/>
        </w:rPr>
        <w:t>ng</w:t>
      </w:r>
      <w:r w:rsidR="00A80116">
        <w:rPr>
          <w:rFonts w:ascii="Palatino Linotype" w:hAnsi="Palatino Linotype"/>
          <w:sz w:val="24"/>
          <w:szCs w:val="24"/>
        </w:rPr>
        <w:t xml:space="preserve"> direction provided by the City Commission</w:t>
      </w:r>
      <w:r>
        <w:rPr>
          <w:rFonts w:ascii="Palatino Linotype" w:hAnsi="Palatino Linotype"/>
          <w:sz w:val="24"/>
          <w:szCs w:val="24"/>
        </w:rPr>
        <w:t xml:space="preserve">.  </w:t>
      </w:r>
      <w:r w:rsidR="00A80116">
        <w:rPr>
          <w:rFonts w:ascii="Palatino Linotype" w:hAnsi="Palatino Linotype"/>
          <w:sz w:val="24"/>
          <w:szCs w:val="24"/>
        </w:rPr>
        <w:t>The RFP was designed to measure the cost differential of curbside vers</w:t>
      </w:r>
      <w:r w:rsidR="00AC4BA5">
        <w:rPr>
          <w:rFonts w:ascii="Palatino Linotype" w:hAnsi="Palatino Linotype"/>
          <w:sz w:val="24"/>
          <w:szCs w:val="24"/>
        </w:rPr>
        <w:t>us</w:t>
      </w:r>
      <w:r w:rsidR="00A80116">
        <w:rPr>
          <w:rFonts w:ascii="Palatino Linotype" w:hAnsi="Palatino Linotype"/>
          <w:sz w:val="24"/>
          <w:szCs w:val="24"/>
        </w:rPr>
        <w:t xml:space="preserve"> alleyway service and the impact of exclusive commercial service on both options.  </w:t>
      </w:r>
    </w:p>
    <w:p w:rsidR="00A80116" w:rsidRDefault="00A80116" w:rsidP="00A80116">
      <w:pPr>
        <w:spacing w:line="240" w:lineRule="auto"/>
        <w:contextualSpacing/>
        <w:rPr>
          <w:rFonts w:ascii="Palatino Linotype" w:hAnsi="Palatino Linotype"/>
          <w:sz w:val="24"/>
          <w:szCs w:val="24"/>
        </w:rPr>
      </w:pPr>
    </w:p>
    <w:p w:rsidR="00A80116" w:rsidRDefault="00B274E4" w:rsidP="00A80116">
      <w:pPr>
        <w:spacing w:line="240" w:lineRule="auto"/>
        <w:contextualSpacing/>
        <w:rPr>
          <w:rFonts w:ascii="Palatino Linotype" w:hAnsi="Palatino Linotype"/>
          <w:sz w:val="24"/>
          <w:szCs w:val="24"/>
        </w:rPr>
      </w:pPr>
      <w:r>
        <w:rPr>
          <w:rFonts w:ascii="Palatino Linotype" w:hAnsi="Palatino Linotype"/>
          <w:sz w:val="24"/>
          <w:szCs w:val="24"/>
        </w:rPr>
        <w:lastRenderedPageBreak/>
        <w:t>The RFP was issued on July 23, 2015</w:t>
      </w:r>
      <w:r w:rsidR="00A80116">
        <w:rPr>
          <w:rFonts w:ascii="Palatino Linotype" w:hAnsi="Palatino Linotype"/>
          <w:sz w:val="24"/>
          <w:szCs w:val="24"/>
        </w:rPr>
        <w:t xml:space="preserve">, </w:t>
      </w:r>
      <w:r>
        <w:rPr>
          <w:rFonts w:ascii="Palatino Linotype" w:hAnsi="Palatino Linotype"/>
          <w:sz w:val="24"/>
          <w:szCs w:val="24"/>
        </w:rPr>
        <w:t>a mandatory proposers meet</w:t>
      </w:r>
      <w:r w:rsidR="00A80116">
        <w:rPr>
          <w:rFonts w:ascii="Palatino Linotype" w:hAnsi="Palatino Linotype"/>
          <w:sz w:val="24"/>
          <w:szCs w:val="24"/>
        </w:rPr>
        <w:t xml:space="preserve">ing was held on August 5, 2015, and the </w:t>
      </w:r>
      <w:r w:rsidR="00793F3E">
        <w:rPr>
          <w:rFonts w:ascii="Palatino Linotype" w:hAnsi="Palatino Linotype"/>
          <w:sz w:val="24"/>
          <w:szCs w:val="24"/>
        </w:rPr>
        <w:t xml:space="preserve">RFP’s </w:t>
      </w:r>
      <w:r w:rsidR="00A80116">
        <w:rPr>
          <w:rFonts w:ascii="Palatino Linotype" w:hAnsi="Palatino Linotype"/>
          <w:sz w:val="24"/>
          <w:szCs w:val="24"/>
        </w:rPr>
        <w:t>were received on August 21, 2015.</w:t>
      </w:r>
    </w:p>
    <w:p w:rsidR="00B274E4" w:rsidRDefault="00B274E4" w:rsidP="00A80116">
      <w:pPr>
        <w:spacing w:line="240" w:lineRule="auto"/>
        <w:contextualSpacing/>
        <w:rPr>
          <w:rFonts w:ascii="Palatino Linotype" w:hAnsi="Palatino Linotype"/>
          <w:sz w:val="24"/>
          <w:szCs w:val="24"/>
        </w:rPr>
      </w:pPr>
      <w:r>
        <w:rPr>
          <w:rFonts w:ascii="Palatino Linotype" w:hAnsi="Palatino Linotype"/>
          <w:sz w:val="24"/>
          <w:szCs w:val="24"/>
        </w:rPr>
        <w:t xml:space="preserve"> </w:t>
      </w:r>
    </w:p>
    <w:p w:rsidR="00A80116" w:rsidRDefault="00A80116" w:rsidP="00A80116">
      <w:pPr>
        <w:spacing w:line="240" w:lineRule="auto"/>
        <w:contextualSpacing/>
        <w:rPr>
          <w:rFonts w:ascii="Palatino Linotype" w:hAnsi="Palatino Linotype"/>
          <w:sz w:val="24"/>
          <w:szCs w:val="24"/>
        </w:rPr>
      </w:pPr>
      <w:r>
        <w:rPr>
          <w:rFonts w:ascii="Palatino Linotype" w:hAnsi="Palatino Linotype"/>
          <w:sz w:val="24"/>
          <w:szCs w:val="24"/>
        </w:rPr>
        <w:t xml:space="preserve">The proposal Committee consists of five members: Colin Donnelly, Assistant City Manager; Nicki Satterfield, Director of Finance; Adam Segal, Assistant Finance Director; </w:t>
      </w:r>
      <w:r w:rsidR="0099400E">
        <w:rPr>
          <w:rFonts w:ascii="Palatino Linotype" w:hAnsi="Palatino Linotype"/>
          <w:sz w:val="24"/>
          <w:szCs w:val="24"/>
        </w:rPr>
        <w:t xml:space="preserve">Ronnie Navarro, Interim Director of Public Services </w:t>
      </w:r>
      <w:r>
        <w:rPr>
          <w:rFonts w:ascii="Palatino Linotype" w:hAnsi="Palatino Linotype"/>
          <w:sz w:val="24"/>
          <w:szCs w:val="24"/>
        </w:rPr>
        <w:t xml:space="preserve">and Russel </w:t>
      </w:r>
      <w:proofErr w:type="spellStart"/>
      <w:r>
        <w:rPr>
          <w:rFonts w:ascii="Palatino Linotype" w:hAnsi="Palatino Linotype"/>
          <w:sz w:val="24"/>
          <w:szCs w:val="24"/>
        </w:rPr>
        <w:t>Ketchem</w:t>
      </w:r>
      <w:proofErr w:type="spellEnd"/>
      <w:r>
        <w:rPr>
          <w:rFonts w:ascii="Palatino Linotype" w:hAnsi="Palatino Linotype"/>
          <w:sz w:val="24"/>
          <w:szCs w:val="24"/>
        </w:rPr>
        <w:t>, Solid Waste Manager for the City of Pompano Beach, Florida.</w:t>
      </w:r>
    </w:p>
    <w:p w:rsidR="00411912" w:rsidRDefault="00411912" w:rsidP="00A80116">
      <w:pPr>
        <w:spacing w:line="240" w:lineRule="auto"/>
        <w:contextualSpacing/>
        <w:rPr>
          <w:rFonts w:ascii="Palatino Linotype" w:hAnsi="Palatino Linotype"/>
          <w:sz w:val="24"/>
          <w:szCs w:val="24"/>
        </w:rPr>
      </w:pPr>
    </w:p>
    <w:p w:rsidR="002B4F34" w:rsidRDefault="002B4F34" w:rsidP="00411912">
      <w:pPr>
        <w:spacing w:line="240" w:lineRule="auto"/>
        <w:contextualSpacing/>
        <w:rPr>
          <w:rFonts w:ascii="Palatino Linotype" w:hAnsi="Palatino Linotype"/>
          <w:sz w:val="24"/>
          <w:szCs w:val="24"/>
        </w:rPr>
      </w:pPr>
      <w:r>
        <w:rPr>
          <w:rFonts w:ascii="Palatino Linotype" w:hAnsi="Palatino Linotype"/>
          <w:sz w:val="24"/>
          <w:szCs w:val="24"/>
        </w:rPr>
        <w:t>The Proposal Committee met on August 21, 2015 to review the submitted proposals and then met again on August 26, 2015 to rank the proposers.  The ranking meeting was publically noticed by the City Clerk’s Office.</w:t>
      </w:r>
      <w:r w:rsidR="00E97E61">
        <w:rPr>
          <w:rFonts w:ascii="Palatino Linotype" w:hAnsi="Palatino Linotype"/>
          <w:sz w:val="24"/>
          <w:szCs w:val="24"/>
        </w:rPr>
        <w:t xml:space="preserve"> The Proposal Committee recommen</w:t>
      </w:r>
      <w:r w:rsidR="00411912">
        <w:rPr>
          <w:rFonts w:ascii="Palatino Linotype" w:hAnsi="Palatino Linotype"/>
          <w:sz w:val="24"/>
          <w:szCs w:val="24"/>
        </w:rPr>
        <w:t xml:space="preserve">dation is attached and made part of this memorandum.  </w:t>
      </w:r>
      <w:r w:rsidR="00E97E61">
        <w:rPr>
          <w:rFonts w:ascii="Palatino Linotype" w:hAnsi="Palatino Linotype"/>
          <w:sz w:val="24"/>
          <w:szCs w:val="24"/>
        </w:rPr>
        <w:t xml:space="preserve"> </w:t>
      </w:r>
    </w:p>
    <w:p w:rsidR="002B4F34" w:rsidRDefault="002B4F34" w:rsidP="002B4F34">
      <w:pPr>
        <w:spacing w:line="240" w:lineRule="auto"/>
        <w:contextualSpacing/>
        <w:rPr>
          <w:rFonts w:ascii="Palatino Linotype" w:hAnsi="Palatino Linotype"/>
          <w:sz w:val="24"/>
          <w:szCs w:val="24"/>
        </w:rPr>
      </w:pPr>
    </w:p>
    <w:p w:rsidR="002B4F34" w:rsidRDefault="002B4F34" w:rsidP="002B4F34">
      <w:pPr>
        <w:spacing w:line="240" w:lineRule="auto"/>
        <w:contextualSpacing/>
        <w:rPr>
          <w:rFonts w:ascii="Palatino Linotype" w:hAnsi="Palatino Linotype"/>
          <w:sz w:val="24"/>
          <w:szCs w:val="24"/>
        </w:rPr>
      </w:pPr>
    </w:p>
    <w:p w:rsidR="002B4F34" w:rsidRDefault="00B274E4" w:rsidP="002B4F34">
      <w:pPr>
        <w:spacing w:line="240" w:lineRule="auto"/>
        <w:contextualSpacing/>
        <w:rPr>
          <w:rFonts w:ascii="Palatino Linotype" w:hAnsi="Palatino Linotype"/>
          <w:sz w:val="24"/>
          <w:szCs w:val="24"/>
          <w:u w:val="single"/>
        </w:rPr>
      </w:pPr>
      <w:r w:rsidRPr="00B274E4">
        <w:rPr>
          <w:rFonts w:ascii="Palatino Linotype" w:hAnsi="Palatino Linotype"/>
          <w:sz w:val="24"/>
          <w:szCs w:val="24"/>
          <w:u w:val="single"/>
        </w:rPr>
        <w:t xml:space="preserve">Results </w:t>
      </w:r>
      <w:r w:rsidR="00E125B3">
        <w:rPr>
          <w:rFonts w:ascii="Palatino Linotype" w:hAnsi="Palatino Linotype"/>
          <w:sz w:val="24"/>
          <w:szCs w:val="24"/>
          <w:u w:val="single"/>
        </w:rPr>
        <w:t>and Analysis</w:t>
      </w:r>
    </w:p>
    <w:p w:rsidR="00AC4BA5" w:rsidRDefault="00AC4BA5" w:rsidP="001E5D00">
      <w:pPr>
        <w:spacing w:line="240" w:lineRule="auto"/>
        <w:contextualSpacing/>
        <w:rPr>
          <w:rFonts w:ascii="Palatino Linotype" w:hAnsi="Palatino Linotype"/>
          <w:sz w:val="24"/>
          <w:szCs w:val="24"/>
        </w:rPr>
      </w:pPr>
    </w:p>
    <w:p w:rsidR="00D420CE" w:rsidRPr="004747CE" w:rsidRDefault="00F345C2" w:rsidP="001E5D00">
      <w:pPr>
        <w:spacing w:line="240" w:lineRule="auto"/>
        <w:contextualSpacing/>
        <w:rPr>
          <w:rFonts w:ascii="Palatino Linotype" w:hAnsi="Palatino Linotype"/>
          <w:sz w:val="24"/>
        </w:rPr>
      </w:pPr>
      <w:r w:rsidRPr="004747CE">
        <w:rPr>
          <w:rFonts w:ascii="Palatino Linotype" w:hAnsi="Palatino Linotype"/>
          <w:sz w:val="24"/>
          <w:szCs w:val="24"/>
        </w:rPr>
        <w:t>Of the four submitted proposals, two</w:t>
      </w:r>
      <w:r w:rsidR="00E125B3">
        <w:rPr>
          <w:rFonts w:ascii="Palatino Linotype" w:hAnsi="Palatino Linotype"/>
          <w:sz w:val="24"/>
          <w:szCs w:val="24"/>
        </w:rPr>
        <w:t xml:space="preserve"> </w:t>
      </w:r>
      <w:r w:rsidR="001E5D00">
        <w:rPr>
          <w:rFonts w:ascii="Palatino Linotype" w:hAnsi="Palatino Linotype"/>
          <w:sz w:val="24"/>
          <w:szCs w:val="24"/>
        </w:rPr>
        <w:t>proposals,</w:t>
      </w:r>
      <w:r w:rsidR="00E125B3">
        <w:rPr>
          <w:rFonts w:ascii="Palatino Linotype" w:hAnsi="Palatino Linotype"/>
          <w:sz w:val="24"/>
          <w:szCs w:val="24"/>
        </w:rPr>
        <w:t xml:space="preserve"> </w:t>
      </w:r>
      <w:r w:rsidR="00D420CE" w:rsidRPr="004747CE">
        <w:rPr>
          <w:rFonts w:ascii="Palatino Linotype" w:hAnsi="Palatino Linotype"/>
          <w:sz w:val="24"/>
          <w:szCs w:val="24"/>
        </w:rPr>
        <w:t>World Waste Recyc</w:t>
      </w:r>
      <w:r w:rsidR="00E125B3">
        <w:rPr>
          <w:rFonts w:ascii="Palatino Linotype" w:hAnsi="Palatino Linotype"/>
          <w:sz w:val="24"/>
          <w:szCs w:val="24"/>
        </w:rPr>
        <w:t>ling and Southern Waste Systems,</w:t>
      </w:r>
      <w:r w:rsidRPr="004747CE">
        <w:rPr>
          <w:rFonts w:ascii="Palatino Linotype" w:hAnsi="Palatino Linotype"/>
          <w:sz w:val="24"/>
          <w:szCs w:val="24"/>
        </w:rPr>
        <w:t xml:space="preserve"> failed to meet the </w:t>
      </w:r>
      <w:r w:rsidR="00DF2F07" w:rsidRPr="004747CE">
        <w:rPr>
          <w:rFonts w:ascii="Palatino Linotype" w:hAnsi="Palatino Linotype"/>
          <w:sz w:val="24"/>
          <w:szCs w:val="24"/>
        </w:rPr>
        <w:t>requirements of the Competency of Proposers Section 1.08 (a) that require</w:t>
      </w:r>
      <w:r w:rsidR="00411912">
        <w:rPr>
          <w:rFonts w:ascii="Palatino Linotype" w:hAnsi="Palatino Linotype"/>
          <w:sz w:val="24"/>
          <w:szCs w:val="24"/>
        </w:rPr>
        <w:t>s</w:t>
      </w:r>
      <w:r w:rsidR="00DF2F07" w:rsidRPr="004747CE">
        <w:rPr>
          <w:rFonts w:ascii="Palatino Linotype" w:hAnsi="Palatino Linotype"/>
          <w:sz w:val="24"/>
          <w:szCs w:val="24"/>
        </w:rPr>
        <w:t xml:space="preserve"> proposers “</w:t>
      </w:r>
      <w:r w:rsidR="00DF2F07" w:rsidRPr="004747CE">
        <w:rPr>
          <w:rFonts w:ascii="Palatino Linotype" w:hAnsi="Palatino Linotype"/>
          <w:sz w:val="24"/>
        </w:rPr>
        <w:t>must</w:t>
      </w:r>
      <w:r w:rsidR="00DF2F07" w:rsidRPr="004747CE">
        <w:rPr>
          <w:rFonts w:ascii="Palatino Linotype" w:hAnsi="Palatino Linotype"/>
          <w:spacing w:val="30"/>
          <w:sz w:val="24"/>
        </w:rPr>
        <w:t xml:space="preserve"> </w:t>
      </w:r>
      <w:r w:rsidR="00DF2F07" w:rsidRPr="004747CE">
        <w:rPr>
          <w:rFonts w:ascii="Palatino Linotype" w:hAnsi="Palatino Linotype"/>
          <w:sz w:val="24"/>
        </w:rPr>
        <w:t>have</w:t>
      </w:r>
      <w:r w:rsidR="00DF2F07" w:rsidRPr="004747CE">
        <w:rPr>
          <w:rFonts w:ascii="Palatino Linotype" w:hAnsi="Palatino Linotype"/>
          <w:spacing w:val="31"/>
          <w:sz w:val="24"/>
        </w:rPr>
        <w:t xml:space="preserve"> </w:t>
      </w:r>
      <w:r w:rsidR="00DF2F07" w:rsidRPr="004747CE">
        <w:rPr>
          <w:rFonts w:ascii="Palatino Linotype" w:hAnsi="Palatino Linotype"/>
          <w:sz w:val="24"/>
        </w:rPr>
        <w:t>a</w:t>
      </w:r>
      <w:r w:rsidR="00DF2F07" w:rsidRPr="004747CE">
        <w:rPr>
          <w:rFonts w:ascii="Palatino Linotype" w:hAnsi="Palatino Linotype"/>
          <w:spacing w:val="31"/>
          <w:sz w:val="24"/>
        </w:rPr>
        <w:t xml:space="preserve"> </w:t>
      </w:r>
      <w:r w:rsidR="00DF2F07" w:rsidRPr="004747CE">
        <w:rPr>
          <w:rFonts w:ascii="Palatino Linotype" w:hAnsi="Palatino Linotype"/>
          <w:sz w:val="24"/>
        </w:rPr>
        <w:t>minimum</w:t>
      </w:r>
      <w:r w:rsidR="00DF2F07" w:rsidRPr="004747CE">
        <w:rPr>
          <w:rFonts w:ascii="Palatino Linotype" w:hAnsi="Palatino Linotype"/>
          <w:spacing w:val="30"/>
          <w:sz w:val="24"/>
        </w:rPr>
        <w:t xml:space="preserve"> </w:t>
      </w:r>
      <w:r w:rsidR="00DF2F07" w:rsidRPr="004747CE">
        <w:rPr>
          <w:rFonts w:ascii="Palatino Linotype" w:hAnsi="Palatino Linotype"/>
          <w:sz w:val="24"/>
        </w:rPr>
        <w:t>of</w:t>
      </w:r>
      <w:r w:rsidR="00DF2F07" w:rsidRPr="004747CE">
        <w:rPr>
          <w:rFonts w:ascii="Palatino Linotype" w:hAnsi="Palatino Linotype"/>
          <w:spacing w:val="32"/>
          <w:sz w:val="24"/>
        </w:rPr>
        <w:t xml:space="preserve"> </w:t>
      </w:r>
      <w:r w:rsidR="00DF2F07" w:rsidRPr="004747CE">
        <w:rPr>
          <w:rFonts w:ascii="Palatino Linotype" w:hAnsi="Palatino Linotype"/>
          <w:sz w:val="24"/>
        </w:rPr>
        <w:t>two</w:t>
      </w:r>
      <w:r w:rsidR="00DF2F07" w:rsidRPr="004747CE">
        <w:rPr>
          <w:rFonts w:ascii="Palatino Linotype" w:hAnsi="Palatino Linotype"/>
          <w:spacing w:val="35"/>
          <w:sz w:val="24"/>
        </w:rPr>
        <w:t xml:space="preserve"> </w:t>
      </w:r>
      <w:r w:rsidR="00DF2F07" w:rsidRPr="004747CE">
        <w:rPr>
          <w:rFonts w:ascii="Palatino Linotype" w:hAnsi="Palatino Linotype"/>
          <w:sz w:val="24"/>
        </w:rPr>
        <w:t>years</w:t>
      </w:r>
      <w:r w:rsidR="00DF2F07" w:rsidRPr="004747CE">
        <w:rPr>
          <w:rFonts w:ascii="Palatino Linotype" w:hAnsi="Palatino Linotype"/>
          <w:spacing w:val="31"/>
          <w:sz w:val="24"/>
        </w:rPr>
        <w:t xml:space="preserve"> </w:t>
      </w:r>
      <w:r w:rsidR="00DF2F07" w:rsidRPr="004747CE">
        <w:rPr>
          <w:rFonts w:ascii="Palatino Linotype" w:hAnsi="Palatino Linotype"/>
          <w:sz w:val="24"/>
        </w:rPr>
        <w:t>of</w:t>
      </w:r>
      <w:r w:rsidR="00DF2F07" w:rsidRPr="004747CE">
        <w:rPr>
          <w:rFonts w:ascii="Palatino Linotype" w:hAnsi="Palatino Linotype"/>
          <w:spacing w:val="29"/>
          <w:sz w:val="24"/>
        </w:rPr>
        <w:t xml:space="preserve"> </w:t>
      </w:r>
      <w:r w:rsidR="00DF2F07" w:rsidRPr="004747CE">
        <w:rPr>
          <w:rFonts w:ascii="Palatino Linotype" w:hAnsi="Palatino Linotype"/>
          <w:sz w:val="24"/>
        </w:rPr>
        <w:t>current</w:t>
      </w:r>
      <w:r w:rsidR="00DF2F07" w:rsidRPr="004747CE">
        <w:rPr>
          <w:rFonts w:ascii="Palatino Linotype" w:hAnsi="Palatino Linotype"/>
          <w:spacing w:val="32"/>
          <w:sz w:val="24"/>
        </w:rPr>
        <w:t xml:space="preserve"> </w:t>
      </w:r>
      <w:r w:rsidR="00DF2F07" w:rsidRPr="004747CE">
        <w:rPr>
          <w:rFonts w:ascii="Palatino Linotype" w:hAnsi="Palatino Linotype"/>
          <w:sz w:val="24"/>
        </w:rPr>
        <w:t>experience</w:t>
      </w:r>
      <w:r w:rsidR="00DF2F07" w:rsidRPr="004747CE">
        <w:rPr>
          <w:rFonts w:ascii="Palatino Linotype" w:hAnsi="Palatino Linotype"/>
          <w:spacing w:val="31"/>
          <w:sz w:val="24"/>
        </w:rPr>
        <w:t xml:space="preserve"> </w:t>
      </w:r>
      <w:r w:rsidR="00DF2F07" w:rsidRPr="004747CE">
        <w:rPr>
          <w:rFonts w:ascii="Palatino Linotype" w:hAnsi="Palatino Linotype"/>
          <w:sz w:val="24"/>
        </w:rPr>
        <w:t>providing similar residential services to a minimum of 7,000 residents in one municipality</w:t>
      </w:r>
      <w:r w:rsidR="00DF2F07" w:rsidRPr="004747CE">
        <w:rPr>
          <w:rFonts w:ascii="Palatino Linotype" w:hAnsi="Palatino Linotype"/>
          <w:spacing w:val="-5"/>
          <w:sz w:val="24"/>
        </w:rPr>
        <w:t xml:space="preserve"> </w:t>
      </w:r>
      <w:r w:rsidR="00DF2F07" w:rsidRPr="004747CE">
        <w:rPr>
          <w:rFonts w:ascii="Palatino Linotype" w:hAnsi="Palatino Linotype"/>
          <w:sz w:val="24"/>
        </w:rPr>
        <w:t>in Florida”</w:t>
      </w:r>
      <w:r w:rsidR="00D420CE" w:rsidRPr="004747CE">
        <w:rPr>
          <w:rFonts w:ascii="Palatino Linotype" w:hAnsi="Palatino Linotype"/>
          <w:sz w:val="24"/>
        </w:rPr>
        <w:t xml:space="preserve"> </w:t>
      </w:r>
      <w:r w:rsidR="006C4402" w:rsidRPr="004747CE">
        <w:rPr>
          <w:rFonts w:ascii="Palatino Linotype" w:hAnsi="Palatino Linotype"/>
          <w:sz w:val="24"/>
        </w:rPr>
        <w:t xml:space="preserve">and are deemed Non-Responsive Proposers.  </w:t>
      </w:r>
      <w:r w:rsidR="00D420CE" w:rsidRPr="004747CE">
        <w:rPr>
          <w:rFonts w:ascii="Palatino Linotype" w:hAnsi="Palatino Linotype"/>
          <w:sz w:val="24"/>
        </w:rPr>
        <w:t>World Waste Recycling</w:t>
      </w:r>
      <w:r w:rsidR="006C4402" w:rsidRPr="004747CE">
        <w:rPr>
          <w:rFonts w:ascii="Palatino Linotype" w:hAnsi="Palatino Linotype"/>
          <w:sz w:val="24"/>
        </w:rPr>
        <w:t xml:space="preserve"> </w:t>
      </w:r>
      <w:r w:rsidR="00034B87">
        <w:rPr>
          <w:rFonts w:ascii="Palatino Linotype" w:hAnsi="Palatino Linotype"/>
          <w:sz w:val="24"/>
        </w:rPr>
        <w:t xml:space="preserve">is </w:t>
      </w:r>
      <w:r w:rsidR="006C4402" w:rsidRPr="004747CE">
        <w:rPr>
          <w:rFonts w:ascii="Palatino Linotype" w:hAnsi="Palatino Linotype"/>
          <w:sz w:val="24"/>
        </w:rPr>
        <w:t>deemed Non-Respons</w:t>
      </w:r>
      <w:r w:rsidR="00B117FB">
        <w:rPr>
          <w:rFonts w:ascii="Palatino Linotype" w:hAnsi="Palatino Linotype"/>
          <w:sz w:val="24"/>
        </w:rPr>
        <w:t>ible by the Proposal Committee</w:t>
      </w:r>
      <w:r w:rsidR="00411912">
        <w:rPr>
          <w:rFonts w:ascii="Palatino Linotype" w:hAnsi="Palatino Linotype"/>
          <w:sz w:val="24"/>
        </w:rPr>
        <w:t xml:space="preserve"> (see the Committee attached recommendation)</w:t>
      </w:r>
      <w:r w:rsidR="00B117FB">
        <w:rPr>
          <w:rFonts w:ascii="Palatino Linotype" w:hAnsi="Palatino Linotype"/>
          <w:sz w:val="24"/>
        </w:rPr>
        <w:t xml:space="preserve">. </w:t>
      </w:r>
      <w:r w:rsidR="006C4402" w:rsidRPr="004747CE">
        <w:rPr>
          <w:rFonts w:ascii="Palatino Linotype" w:hAnsi="Palatino Linotype"/>
          <w:sz w:val="24"/>
        </w:rPr>
        <w:t xml:space="preserve"> </w:t>
      </w:r>
    </w:p>
    <w:p w:rsidR="00D420CE" w:rsidRPr="004747CE" w:rsidRDefault="00D420CE" w:rsidP="00D420CE">
      <w:pPr>
        <w:spacing w:line="240" w:lineRule="auto"/>
        <w:contextualSpacing/>
        <w:rPr>
          <w:rFonts w:ascii="Palatino Linotype" w:hAnsi="Palatino Linotype"/>
          <w:sz w:val="24"/>
        </w:rPr>
      </w:pPr>
    </w:p>
    <w:p w:rsidR="00D420CE" w:rsidRDefault="00D420CE" w:rsidP="00D420CE">
      <w:pPr>
        <w:spacing w:line="240" w:lineRule="auto"/>
        <w:contextualSpacing/>
        <w:rPr>
          <w:rFonts w:ascii="Palatino Linotype" w:hAnsi="Palatino Linotype"/>
          <w:sz w:val="24"/>
        </w:rPr>
      </w:pPr>
      <w:r w:rsidRPr="004747CE">
        <w:rPr>
          <w:rFonts w:ascii="Palatino Linotype" w:hAnsi="Palatino Linotype"/>
          <w:sz w:val="24"/>
        </w:rPr>
        <w:t>Both Waste Management and Waste Pro were sufficient in all areas of their proposal and were found to be both Responsive and Responsible</w:t>
      </w:r>
      <w:r w:rsidR="006C4402" w:rsidRPr="004747CE">
        <w:rPr>
          <w:rFonts w:ascii="Palatino Linotype" w:hAnsi="Palatino Linotype"/>
          <w:sz w:val="24"/>
        </w:rPr>
        <w:t xml:space="preserve"> proposers</w:t>
      </w:r>
      <w:r w:rsidR="0061417E">
        <w:rPr>
          <w:rFonts w:ascii="Palatino Linotype" w:hAnsi="Palatino Linotype"/>
          <w:sz w:val="24"/>
        </w:rPr>
        <w:t xml:space="preserve"> and offer comparable services to the City. </w:t>
      </w:r>
    </w:p>
    <w:p w:rsidR="00AC4BA5" w:rsidRDefault="00AC4BA5" w:rsidP="00D420CE">
      <w:pPr>
        <w:spacing w:line="240" w:lineRule="auto"/>
        <w:contextualSpacing/>
        <w:rPr>
          <w:rFonts w:ascii="Palatino Linotype" w:hAnsi="Palatino Linotype"/>
          <w:sz w:val="24"/>
        </w:rPr>
      </w:pPr>
    </w:p>
    <w:p w:rsidR="00AC4BA5" w:rsidRPr="00B274E4" w:rsidRDefault="00AC4BA5" w:rsidP="00AC4BA5">
      <w:pPr>
        <w:spacing w:line="240" w:lineRule="auto"/>
        <w:contextualSpacing/>
        <w:rPr>
          <w:rFonts w:ascii="Palatino Linotype" w:hAnsi="Palatino Linotype"/>
          <w:sz w:val="24"/>
          <w:szCs w:val="24"/>
          <w:u w:val="single"/>
        </w:rPr>
      </w:pPr>
      <w:r>
        <w:rPr>
          <w:rFonts w:ascii="Palatino Linotype" w:hAnsi="Palatino Linotype"/>
          <w:sz w:val="24"/>
          <w:szCs w:val="24"/>
          <w:u w:val="single"/>
        </w:rPr>
        <w:t>Table: Monthly Cost per Residential Dwelling Unit</w:t>
      </w:r>
    </w:p>
    <w:p w:rsidR="00AC4BA5" w:rsidRDefault="00AC4BA5" w:rsidP="00AC4BA5">
      <w:pPr>
        <w:spacing w:line="240" w:lineRule="auto"/>
        <w:contextualSpacing/>
        <w:rPr>
          <w:rFonts w:ascii="Palatino Linotype" w:hAnsi="Palatino Linotype"/>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AC4BA5" w:rsidTr="00B171F7">
        <w:tc>
          <w:tcPr>
            <w:tcW w:w="1915" w:type="dxa"/>
            <w:tcBorders>
              <w:bottom w:val="single" w:sz="4" w:space="0" w:color="auto"/>
            </w:tcBorders>
          </w:tcPr>
          <w:p w:rsidR="00AC4BA5" w:rsidRDefault="00AC4BA5" w:rsidP="00B171F7">
            <w:pPr>
              <w:contextualSpacing/>
              <w:rPr>
                <w:rFonts w:ascii="Palatino Linotype" w:hAnsi="Palatino Linotype"/>
                <w:sz w:val="24"/>
                <w:szCs w:val="24"/>
              </w:rPr>
            </w:pPr>
            <w:r>
              <w:rPr>
                <w:rFonts w:ascii="Palatino Linotype" w:hAnsi="Palatino Linotype"/>
                <w:sz w:val="24"/>
                <w:szCs w:val="24"/>
              </w:rPr>
              <w:t>Proposer</w:t>
            </w:r>
          </w:p>
        </w:tc>
        <w:tc>
          <w:tcPr>
            <w:tcW w:w="1915" w:type="dxa"/>
            <w:vAlign w:val="center"/>
          </w:tcPr>
          <w:p w:rsidR="00AC4BA5" w:rsidRDefault="00AC4BA5" w:rsidP="00B171F7">
            <w:pPr>
              <w:contextualSpacing/>
              <w:jc w:val="center"/>
              <w:rPr>
                <w:rFonts w:ascii="Palatino Linotype" w:hAnsi="Palatino Linotype"/>
                <w:sz w:val="24"/>
                <w:szCs w:val="24"/>
              </w:rPr>
            </w:pPr>
            <w:r>
              <w:rPr>
                <w:rFonts w:ascii="Palatino Linotype" w:hAnsi="Palatino Linotype"/>
                <w:sz w:val="24"/>
                <w:szCs w:val="24"/>
              </w:rPr>
              <w:t>Primary Proposal</w:t>
            </w:r>
          </w:p>
        </w:tc>
        <w:tc>
          <w:tcPr>
            <w:tcW w:w="1915" w:type="dxa"/>
            <w:vAlign w:val="center"/>
          </w:tcPr>
          <w:p w:rsidR="00AC4BA5" w:rsidRDefault="00AC4BA5" w:rsidP="00B171F7">
            <w:pPr>
              <w:contextualSpacing/>
              <w:jc w:val="center"/>
              <w:rPr>
                <w:rFonts w:ascii="Palatino Linotype" w:hAnsi="Palatino Linotype"/>
                <w:sz w:val="24"/>
                <w:szCs w:val="24"/>
              </w:rPr>
            </w:pPr>
            <w:r>
              <w:rPr>
                <w:rFonts w:ascii="Palatino Linotype" w:hAnsi="Palatino Linotype"/>
                <w:sz w:val="24"/>
                <w:szCs w:val="24"/>
              </w:rPr>
              <w:t>Alternate 1</w:t>
            </w:r>
          </w:p>
        </w:tc>
        <w:tc>
          <w:tcPr>
            <w:tcW w:w="1915" w:type="dxa"/>
            <w:vAlign w:val="center"/>
          </w:tcPr>
          <w:p w:rsidR="00AC4BA5" w:rsidRDefault="00AC4BA5" w:rsidP="00B171F7">
            <w:pPr>
              <w:contextualSpacing/>
              <w:jc w:val="center"/>
              <w:rPr>
                <w:rFonts w:ascii="Palatino Linotype" w:hAnsi="Palatino Linotype"/>
                <w:sz w:val="24"/>
                <w:szCs w:val="24"/>
              </w:rPr>
            </w:pPr>
            <w:r>
              <w:rPr>
                <w:rFonts w:ascii="Palatino Linotype" w:hAnsi="Palatino Linotype"/>
                <w:sz w:val="24"/>
                <w:szCs w:val="24"/>
              </w:rPr>
              <w:t>Alternate 2</w:t>
            </w:r>
          </w:p>
        </w:tc>
        <w:tc>
          <w:tcPr>
            <w:tcW w:w="1916" w:type="dxa"/>
            <w:vAlign w:val="center"/>
          </w:tcPr>
          <w:p w:rsidR="00AC4BA5" w:rsidRDefault="00AC4BA5" w:rsidP="00B171F7">
            <w:pPr>
              <w:contextualSpacing/>
              <w:jc w:val="center"/>
              <w:rPr>
                <w:rFonts w:ascii="Palatino Linotype" w:hAnsi="Palatino Linotype"/>
                <w:sz w:val="24"/>
                <w:szCs w:val="24"/>
              </w:rPr>
            </w:pPr>
            <w:r>
              <w:rPr>
                <w:rFonts w:ascii="Palatino Linotype" w:hAnsi="Palatino Linotype"/>
                <w:sz w:val="24"/>
                <w:szCs w:val="24"/>
              </w:rPr>
              <w:t>Alternate 3</w:t>
            </w:r>
          </w:p>
        </w:tc>
      </w:tr>
      <w:tr w:rsidR="00AC4BA5" w:rsidTr="00B171F7">
        <w:tc>
          <w:tcPr>
            <w:tcW w:w="1915" w:type="dxa"/>
            <w:shd w:val="clear" w:color="auto" w:fill="FFFF00"/>
          </w:tcPr>
          <w:p w:rsidR="00AC4BA5" w:rsidRDefault="00AC4BA5" w:rsidP="00B171F7">
            <w:pPr>
              <w:contextualSpacing/>
              <w:rPr>
                <w:rFonts w:ascii="Palatino Linotype" w:hAnsi="Palatino Linotype"/>
                <w:sz w:val="24"/>
                <w:szCs w:val="24"/>
              </w:rPr>
            </w:pPr>
            <w:r>
              <w:rPr>
                <w:rFonts w:ascii="Palatino Linotype" w:hAnsi="Palatino Linotype"/>
                <w:sz w:val="24"/>
                <w:szCs w:val="24"/>
              </w:rPr>
              <w:t>World Waste Recycling</w:t>
            </w:r>
          </w:p>
        </w:tc>
        <w:tc>
          <w:tcPr>
            <w:tcW w:w="1915" w:type="dxa"/>
            <w:vAlign w:val="center"/>
          </w:tcPr>
          <w:p w:rsidR="00AC4BA5" w:rsidRPr="00EA6845" w:rsidRDefault="00AC4BA5" w:rsidP="00B171F7">
            <w:pPr>
              <w:contextualSpacing/>
              <w:jc w:val="center"/>
              <w:rPr>
                <w:rFonts w:ascii="Palatino Linotype" w:hAnsi="Palatino Linotype"/>
                <w:strike/>
                <w:sz w:val="24"/>
                <w:szCs w:val="24"/>
              </w:rPr>
            </w:pPr>
            <w:r w:rsidRPr="00EA6845">
              <w:rPr>
                <w:rFonts w:ascii="Palatino Linotype" w:hAnsi="Palatino Linotype"/>
                <w:strike/>
                <w:sz w:val="24"/>
                <w:szCs w:val="24"/>
              </w:rPr>
              <w:t>$17.39</w:t>
            </w:r>
          </w:p>
        </w:tc>
        <w:tc>
          <w:tcPr>
            <w:tcW w:w="1915" w:type="dxa"/>
            <w:vAlign w:val="center"/>
          </w:tcPr>
          <w:p w:rsidR="00AC4BA5" w:rsidRPr="00EA6845" w:rsidRDefault="00AC4BA5" w:rsidP="00B171F7">
            <w:pPr>
              <w:contextualSpacing/>
              <w:jc w:val="center"/>
              <w:rPr>
                <w:rFonts w:ascii="Palatino Linotype" w:hAnsi="Palatino Linotype"/>
                <w:strike/>
                <w:sz w:val="24"/>
                <w:szCs w:val="24"/>
              </w:rPr>
            </w:pPr>
            <w:r w:rsidRPr="00EA6845">
              <w:rPr>
                <w:rFonts w:ascii="Palatino Linotype" w:hAnsi="Palatino Linotype"/>
                <w:strike/>
                <w:sz w:val="24"/>
                <w:szCs w:val="24"/>
              </w:rPr>
              <w:t>$17.39</w:t>
            </w:r>
          </w:p>
        </w:tc>
        <w:tc>
          <w:tcPr>
            <w:tcW w:w="1915" w:type="dxa"/>
            <w:vAlign w:val="center"/>
          </w:tcPr>
          <w:p w:rsidR="00AC4BA5" w:rsidRPr="00EA6845" w:rsidRDefault="00AC4BA5" w:rsidP="00B171F7">
            <w:pPr>
              <w:contextualSpacing/>
              <w:jc w:val="center"/>
              <w:rPr>
                <w:rFonts w:ascii="Palatino Linotype" w:hAnsi="Palatino Linotype"/>
                <w:strike/>
                <w:sz w:val="24"/>
                <w:szCs w:val="24"/>
              </w:rPr>
            </w:pPr>
            <w:r w:rsidRPr="00EA6845">
              <w:rPr>
                <w:rFonts w:ascii="Palatino Linotype" w:hAnsi="Palatino Linotype"/>
                <w:strike/>
                <w:sz w:val="24"/>
                <w:szCs w:val="24"/>
              </w:rPr>
              <w:t>$17.39</w:t>
            </w:r>
          </w:p>
        </w:tc>
        <w:tc>
          <w:tcPr>
            <w:tcW w:w="1916" w:type="dxa"/>
            <w:vAlign w:val="center"/>
          </w:tcPr>
          <w:p w:rsidR="00AC4BA5" w:rsidRPr="00EA6845" w:rsidRDefault="00AC4BA5" w:rsidP="00B171F7">
            <w:pPr>
              <w:contextualSpacing/>
              <w:jc w:val="center"/>
              <w:rPr>
                <w:rFonts w:ascii="Palatino Linotype" w:hAnsi="Palatino Linotype"/>
                <w:strike/>
                <w:sz w:val="24"/>
                <w:szCs w:val="24"/>
              </w:rPr>
            </w:pPr>
            <w:r w:rsidRPr="00EA6845">
              <w:rPr>
                <w:rFonts w:ascii="Palatino Linotype" w:hAnsi="Palatino Linotype"/>
                <w:strike/>
                <w:sz w:val="24"/>
                <w:szCs w:val="24"/>
              </w:rPr>
              <w:t>$17.39</w:t>
            </w:r>
          </w:p>
        </w:tc>
      </w:tr>
      <w:tr w:rsidR="00AC4BA5" w:rsidTr="00B171F7">
        <w:tc>
          <w:tcPr>
            <w:tcW w:w="1915" w:type="dxa"/>
          </w:tcPr>
          <w:p w:rsidR="00AC4BA5" w:rsidRDefault="00AC4BA5" w:rsidP="00B171F7">
            <w:pPr>
              <w:contextualSpacing/>
              <w:rPr>
                <w:rFonts w:ascii="Palatino Linotype" w:hAnsi="Palatino Linotype"/>
                <w:sz w:val="24"/>
                <w:szCs w:val="24"/>
              </w:rPr>
            </w:pPr>
            <w:r>
              <w:rPr>
                <w:rFonts w:ascii="Palatino Linotype" w:hAnsi="Palatino Linotype"/>
                <w:sz w:val="24"/>
                <w:szCs w:val="24"/>
              </w:rPr>
              <w:t>Waste Management of South Florida</w:t>
            </w:r>
          </w:p>
        </w:tc>
        <w:tc>
          <w:tcPr>
            <w:tcW w:w="1915" w:type="dxa"/>
            <w:shd w:val="clear" w:color="auto" w:fill="92D050"/>
            <w:vAlign w:val="center"/>
          </w:tcPr>
          <w:p w:rsidR="00AC4BA5" w:rsidRDefault="00AC4BA5" w:rsidP="00B171F7">
            <w:pPr>
              <w:contextualSpacing/>
              <w:jc w:val="center"/>
              <w:rPr>
                <w:rFonts w:ascii="Palatino Linotype" w:hAnsi="Palatino Linotype"/>
                <w:sz w:val="24"/>
                <w:szCs w:val="24"/>
              </w:rPr>
            </w:pPr>
            <w:r>
              <w:rPr>
                <w:rFonts w:ascii="Palatino Linotype" w:hAnsi="Palatino Linotype"/>
                <w:sz w:val="24"/>
                <w:szCs w:val="24"/>
              </w:rPr>
              <w:t>$28.33</w:t>
            </w:r>
          </w:p>
        </w:tc>
        <w:tc>
          <w:tcPr>
            <w:tcW w:w="1915" w:type="dxa"/>
            <w:shd w:val="clear" w:color="auto" w:fill="92D050"/>
            <w:vAlign w:val="center"/>
          </w:tcPr>
          <w:p w:rsidR="00AC4BA5" w:rsidRDefault="00AC4BA5" w:rsidP="00B171F7">
            <w:pPr>
              <w:contextualSpacing/>
              <w:jc w:val="center"/>
              <w:rPr>
                <w:rFonts w:ascii="Palatino Linotype" w:hAnsi="Palatino Linotype"/>
                <w:sz w:val="24"/>
                <w:szCs w:val="24"/>
              </w:rPr>
            </w:pPr>
            <w:r>
              <w:rPr>
                <w:rFonts w:ascii="Palatino Linotype" w:hAnsi="Palatino Linotype"/>
                <w:sz w:val="24"/>
                <w:szCs w:val="24"/>
              </w:rPr>
              <w:t>$36.38</w:t>
            </w:r>
          </w:p>
        </w:tc>
        <w:tc>
          <w:tcPr>
            <w:tcW w:w="1915" w:type="dxa"/>
            <w:shd w:val="clear" w:color="auto" w:fill="92D050"/>
            <w:vAlign w:val="center"/>
          </w:tcPr>
          <w:p w:rsidR="00AC4BA5" w:rsidRDefault="00AC4BA5" w:rsidP="00B171F7">
            <w:pPr>
              <w:contextualSpacing/>
              <w:jc w:val="center"/>
              <w:rPr>
                <w:rFonts w:ascii="Palatino Linotype" w:hAnsi="Palatino Linotype"/>
                <w:sz w:val="24"/>
                <w:szCs w:val="24"/>
              </w:rPr>
            </w:pPr>
            <w:r>
              <w:rPr>
                <w:rFonts w:ascii="Palatino Linotype" w:hAnsi="Palatino Linotype"/>
                <w:sz w:val="24"/>
                <w:szCs w:val="24"/>
              </w:rPr>
              <w:t>$26.81</w:t>
            </w:r>
          </w:p>
        </w:tc>
        <w:tc>
          <w:tcPr>
            <w:tcW w:w="1916" w:type="dxa"/>
            <w:shd w:val="clear" w:color="auto" w:fill="92D050"/>
            <w:vAlign w:val="center"/>
          </w:tcPr>
          <w:p w:rsidR="00AC4BA5" w:rsidRDefault="00AC4BA5" w:rsidP="00B171F7">
            <w:pPr>
              <w:contextualSpacing/>
              <w:jc w:val="center"/>
              <w:rPr>
                <w:rFonts w:ascii="Palatino Linotype" w:hAnsi="Palatino Linotype"/>
                <w:sz w:val="24"/>
                <w:szCs w:val="24"/>
              </w:rPr>
            </w:pPr>
            <w:r>
              <w:rPr>
                <w:rFonts w:ascii="Palatino Linotype" w:hAnsi="Palatino Linotype"/>
                <w:sz w:val="24"/>
                <w:szCs w:val="24"/>
              </w:rPr>
              <w:t>$34.90</w:t>
            </w:r>
          </w:p>
        </w:tc>
      </w:tr>
      <w:tr w:rsidR="00AC4BA5" w:rsidTr="00B171F7">
        <w:tc>
          <w:tcPr>
            <w:tcW w:w="1915" w:type="dxa"/>
          </w:tcPr>
          <w:p w:rsidR="00AC4BA5" w:rsidRDefault="00AC4BA5" w:rsidP="00B171F7">
            <w:pPr>
              <w:contextualSpacing/>
              <w:rPr>
                <w:rFonts w:ascii="Palatino Linotype" w:hAnsi="Palatino Linotype"/>
                <w:sz w:val="24"/>
                <w:szCs w:val="24"/>
              </w:rPr>
            </w:pPr>
            <w:r>
              <w:rPr>
                <w:rFonts w:ascii="Palatino Linotype" w:hAnsi="Palatino Linotype"/>
                <w:sz w:val="24"/>
                <w:szCs w:val="24"/>
              </w:rPr>
              <w:t>Waste Pro of Florida, Inc.</w:t>
            </w:r>
          </w:p>
        </w:tc>
        <w:tc>
          <w:tcPr>
            <w:tcW w:w="1915" w:type="dxa"/>
            <w:vAlign w:val="center"/>
          </w:tcPr>
          <w:p w:rsidR="00AC4BA5" w:rsidRDefault="00AC4BA5" w:rsidP="00B171F7">
            <w:pPr>
              <w:contextualSpacing/>
              <w:jc w:val="center"/>
              <w:rPr>
                <w:rFonts w:ascii="Palatino Linotype" w:hAnsi="Palatino Linotype"/>
                <w:sz w:val="24"/>
                <w:szCs w:val="24"/>
              </w:rPr>
            </w:pPr>
            <w:r>
              <w:rPr>
                <w:rFonts w:ascii="Palatino Linotype" w:hAnsi="Palatino Linotype"/>
                <w:sz w:val="24"/>
                <w:szCs w:val="24"/>
              </w:rPr>
              <w:t>$36.86</w:t>
            </w:r>
          </w:p>
        </w:tc>
        <w:tc>
          <w:tcPr>
            <w:tcW w:w="1915" w:type="dxa"/>
            <w:vAlign w:val="center"/>
          </w:tcPr>
          <w:p w:rsidR="00AC4BA5" w:rsidRDefault="00AC4BA5" w:rsidP="00B171F7">
            <w:pPr>
              <w:contextualSpacing/>
              <w:jc w:val="center"/>
              <w:rPr>
                <w:rFonts w:ascii="Palatino Linotype" w:hAnsi="Palatino Linotype"/>
                <w:sz w:val="24"/>
                <w:szCs w:val="24"/>
              </w:rPr>
            </w:pPr>
            <w:r>
              <w:rPr>
                <w:rFonts w:ascii="Palatino Linotype" w:hAnsi="Palatino Linotype"/>
                <w:sz w:val="24"/>
                <w:szCs w:val="24"/>
              </w:rPr>
              <w:t>$37.43</w:t>
            </w:r>
          </w:p>
        </w:tc>
        <w:tc>
          <w:tcPr>
            <w:tcW w:w="1915" w:type="dxa"/>
            <w:vAlign w:val="center"/>
          </w:tcPr>
          <w:p w:rsidR="00AC4BA5" w:rsidRDefault="00AC4BA5" w:rsidP="00B171F7">
            <w:pPr>
              <w:contextualSpacing/>
              <w:jc w:val="center"/>
              <w:rPr>
                <w:rFonts w:ascii="Palatino Linotype" w:hAnsi="Palatino Linotype"/>
                <w:sz w:val="24"/>
                <w:szCs w:val="24"/>
              </w:rPr>
            </w:pPr>
            <w:r>
              <w:rPr>
                <w:rFonts w:ascii="Palatino Linotype" w:hAnsi="Palatino Linotype"/>
                <w:sz w:val="24"/>
                <w:szCs w:val="24"/>
              </w:rPr>
              <w:t>$36.86</w:t>
            </w:r>
          </w:p>
        </w:tc>
        <w:tc>
          <w:tcPr>
            <w:tcW w:w="1916" w:type="dxa"/>
            <w:vAlign w:val="center"/>
          </w:tcPr>
          <w:p w:rsidR="00AC4BA5" w:rsidRDefault="00AC4BA5" w:rsidP="00B171F7">
            <w:pPr>
              <w:contextualSpacing/>
              <w:jc w:val="center"/>
              <w:rPr>
                <w:rFonts w:ascii="Palatino Linotype" w:hAnsi="Palatino Linotype"/>
                <w:sz w:val="24"/>
                <w:szCs w:val="24"/>
              </w:rPr>
            </w:pPr>
            <w:r>
              <w:rPr>
                <w:rFonts w:ascii="Palatino Linotype" w:hAnsi="Palatino Linotype"/>
                <w:sz w:val="24"/>
                <w:szCs w:val="24"/>
              </w:rPr>
              <w:t>$37.43</w:t>
            </w:r>
          </w:p>
        </w:tc>
      </w:tr>
      <w:tr w:rsidR="00AC4BA5" w:rsidTr="00B171F7">
        <w:tc>
          <w:tcPr>
            <w:tcW w:w="1915" w:type="dxa"/>
            <w:shd w:val="clear" w:color="auto" w:fill="FFFF00"/>
          </w:tcPr>
          <w:p w:rsidR="00AC4BA5" w:rsidRDefault="00AC4BA5" w:rsidP="00B171F7">
            <w:pPr>
              <w:contextualSpacing/>
              <w:rPr>
                <w:rFonts w:ascii="Palatino Linotype" w:hAnsi="Palatino Linotype"/>
                <w:sz w:val="24"/>
                <w:szCs w:val="24"/>
              </w:rPr>
            </w:pPr>
            <w:r>
              <w:rPr>
                <w:rFonts w:ascii="Palatino Linotype" w:hAnsi="Palatino Linotype"/>
                <w:sz w:val="24"/>
                <w:szCs w:val="24"/>
              </w:rPr>
              <w:lastRenderedPageBreak/>
              <w:t>Southern Waste Systems</w:t>
            </w:r>
          </w:p>
        </w:tc>
        <w:tc>
          <w:tcPr>
            <w:tcW w:w="1915" w:type="dxa"/>
            <w:vAlign w:val="center"/>
          </w:tcPr>
          <w:p w:rsidR="00AC4BA5" w:rsidRPr="00EA6845" w:rsidRDefault="00AC4BA5" w:rsidP="00B171F7">
            <w:pPr>
              <w:contextualSpacing/>
              <w:jc w:val="center"/>
              <w:rPr>
                <w:rFonts w:ascii="Palatino Linotype" w:hAnsi="Palatino Linotype"/>
                <w:strike/>
                <w:sz w:val="24"/>
                <w:szCs w:val="24"/>
              </w:rPr>
            </w:pPr>
            <w:r w:rsidRPr="00EA6845">
              <w:rPr>
                <w:rFonts w:ascii="Palatino Linotype" w:hAnsi="Palatino Linotype"/>
                <w:strike/>
                <w:sz w:val="24"/>
                <w:szCs w:val="24"/>
              </w:rPr>
              <w:t>$46.50</w:t>
            </w:r>
          </w:p>
        </w:tc>
        <w:tc>
          <w:tcPr>
            <w:tcW w:w="1915" w:type="dxa"/>
            <w:vAlign w:val="center"/>
          </w:tcPr>
          <w:p w:rsidR="00AC4BA5" w:rsidRPr="00EA6845" w:rsidRDefault="00AC4BA5" w:rsidP="00B171F7">
            <w:pPr>
              <w:contextualSpacing/>
              <w:jc w:val="center"/>
              <w:rPr>
                <w:rFonts w:ascii="Palatino Linotype" w:hAnsi="Palatino Linotype"/>
                <w:strike/>
                <w:sz w:val="24"/>
                <w:szCs w:val="24"/>
              </w:rPr>
            </w:pPr>
            <w:r w:rsidRPr="00EA6845">
              <w:rPr>
                <w:rFonts w:ascii="Palatino Linotype" w:hAnsi="Palatino Linotype"/>
                <w:strike/>
                <w:sz w:val="24"/>
                <w:szCs w:val="24"/>
              </w:rPr>
              <w:t>$46.50</w:t>
            </w:r>
          </w:p>
        </w:tc>
        <w:tc>
          <w:tcPr>
            <w:tcW w:w="1915" w:type="dxa"/>
            <w:vAlign w:val="center"/>
          </w:tcPr>
          <w:p w:rsidR="00AC4BA5" w:rsidRPr="00EA6845" w:rsidRDefault="00AC4BA5" w:rsidP="00B171F7">
            <w:pPr>
              <w:contextualSpacing/>
              <w:jc w:val="center"/>
              <w:rPr>
                <w:rFonts w:ascii="Palatino Linotype" w:hAnsi="Palatino Linotype"/>
                <w:strike/>
                <w:sz w:val="24"/>
                <w:szCs w:val="24"/>
              </w:rPr>
            </w:pPr>
            <w:r w:rsidRPr="00EA6845">
              <w:rPr>
                <w:rFonts w:ascii="Palatino Linotype" w:hAnsi="Palatino Linotype"/>
                <w:strike/>
                <w:sz w:val="24"/>
                <w:szCs w:val="24"/>
              </w:rPr>
              <w:t>$40.75</w:t>
            </w:r>
          </w:p>
        </w:tc>
        <w:tc>
          <w:tcPr>
            <w:tcW w:w="1916" w:type="dxa"/>
            <w:vAlign w:val="center"/>
          </w:tcPr>
          <w:p w:rsidR="00AC4BA5" w:rsidRPr="00EA6845" w:rsidRDefault="00AC4BA5" w:rsidP="00B171F7">
            <w:pPr>
              <w:contextualSpacing/>
              <w:jc w:val="center"/>
              <w:rPr>
                <w:rFonts w:ascii="Palatino Linotype" w:hAnsi="Palatino Linotype"/>
                <w:strike/>
                <w:sz w:val="24"/>
                <w:szCs w:val="24"/>
              </w:rPr>
            </w:pPr>
            <w:r w:rsidRPr="00EA6845">
              <w:rPr>
                <w:rFonts w:ascii="Palatino Linotype" w:hAnsi="Palatino Linotype"/>
                <w:strike/>
                <w:sz w:val="24"/>
                <w:szCs w:val="24"/>
              </w:rPr>
              <w:t>$40.75</w:t>
            </w:r>
          </w:p>
        </w:tc>
      </w:tr>
    </w:tbl>
    <w:p w:rsidR="00AC4BA5" w:rsidRDefault="00AC4BA5" w:rsidP="00AC4BA5">
      <w:pPr>
        <w:spacing w:line="240" w:lineRule="auto"/>
        <w:contextualSpacing/>
        <w:rPr>
          <w:rFonts w:ascii="Palatino Linotype" w:hAnsi="Palatino Linotype"/>
          <w:sz w:val="24"/>
          <w:szCs w:val="24"/>
        </w:rPr>
      </w:pPr>
    </w:p>
    <w:tbl>
      <w:tblPr>
        <w:tblStyle w:val="TableGrid"/>
        <w:tblW w:w="0" w:type="auto"/>
        <w:tblLook w:val="04A0" w:firstRow="1" w:lastRow="0" w:firstColumn="1" w:lastColumn="0" w:noHBand="0" w:noVBand="1"/>
      </w:tblPr>
      <w:tblGrid>
        <w:gridCol w:w="9576"/>
      </w:tblGrid>
      <w:tr w:rsidR="00AC4BA5" w:rsidTr="00B171F7">
        <w:tc>
          <w:tcPr>
            <w:tcW w:w="9576" w:type="dxa"/>
            <w:shd w:val="clear" w:color="auto" w:fill="FFFF00"/>
          </w:tcPr>
          <w:p w:rsidR="00AC4BA5" w:rsidRDefault="00AC4BA5" w:rsidP="00B171F7">
            <w:pPr>
              <w:contextualSpacing/>
              <w:rPr>
                <w:rFonts w:ascii="Palatino Linotype" w:hAnsi="Palatino Linotype"/>
                <w:sz w:val="24"/>
                <w:szCs w:val="24"/>
              </w:rPr>
            </w:pPr>
            <w:r>
              <w:rPr>
                <w:rFonts w:ascii="Palatino Linotype" w:hAnsi="Palatino Linotype"/>
                <w:sz w:val="24"/>
                <w:szCs w:val="24"/>
              </w:rPr>
              <w:t>Indicates non-responsive proposer – does not meet requirement of Section 1.08(a) of the RFP – “</w:t>
            </w:r>
            <w:r>
              <w:rPr>
                <w:rFonts w:ascii="Times New Roman"/>
                <w:sz w:val="24"/>
              </w:rPr>
              <w:t>Contractor</w:t>
            </w:r>
            <w:r>
              <w:rPr>
                <w:rFonts w:ascii="Times New Roman"/>
                <w:spacing w:val="29"/>
                <w:sz w:val="24"/>
              </w:rPr>
              <w:t xml:space="preserve"> </w:t>
            </w:r>
            <w:r>
              <w:rPr>
                <w:rFonts w:ascii="Times New Roman"/>
                <w:sz w:val="24"/>
              </w:rPr>
              <w:t>must</w:t>
            </w:r>
            <w:r>
              <w:rPr>
                <w:rFonts w:ascii="Times New Roman"/>
                <w:spacing w:val="30"/>
                <w:sz w:val="24"/>
              </w:rPr>
              <w:t xml:space="preserve"> </w:t>
            </w:r>
            <w:r>
              <w:rPr>
                <w:rFonts w:ascii="Times New Roman"/>
                <w:sz w:val="24"/>
              </w:rPr>
              <w:t>have</w:t>
            </w:r>
            <w:r>
              <w:rPr>
                <w:rFonts w:ascii="Times New Roman"/>
                <w:spacing w:val="31"/>
                <w:sz w:val="24"/>
              </w:rPr>
              <w:t xml:space="preserve"> </w:t>
            </w:r>
            <w:r>
              <w:rPr>
                <w:rFonts w:ascii="Times New Roman"/>
                <w:sz w:val="24"/>
              </w:rPr>
              <w:t>a</w:t>
            </w:r>
            <w:r>
              <w:rPr>
                <w:rFonts w:ascii="Times New Roman"/>
                <w:spacing w:val="31"/>
                <w:sz w:val="24"/>
              </w:rPr>
              <w:t xml:space="preserve"> </w:t>
            </w:r>
            <w:r>
              <w:rPr>
                <w:rFonts w:ascii="Times New Roman"/>
                <w:sz w:val="24"/>
              </w:rPr>
              <w:t>minimum</w:t>
            </w:r>
            <w:r>
              <w:rPr>
                <w:rFonts w:ascii="Times New Roman"/>
                <w:spacing w:val="30"/>
                <w:sz w:val="24"/>
              </w:rPr>
              <w:t xml:space="preserve"> </w:t>
            </w:r>
            <w:r>
              <w:rPr>
                <w:rFonts w:ascii="Times New Roman"/>
                <w:sz w:val="24"/>
              </w:rPr>
              <w:t>of</w:t>
            </w:r>
            <w:r>
              <w:rPr>
                <w:rFonts w:ascii="Times New Roman"/>
                <w:spacing w:val="32"/>
                <w:sz w:val="24"/>
              </w:rPr>
              <w:t xml:space="preserve"> </w:t>
            </w:r>
            <w:r>
              <w:rPr>
                <w:rFonts w:ascii="Times New Roman"/>
                <w:sz w:val="24"/>
              </w:rPr>
              <w:t>two</w:t>
            </w:r>
            <w:r>
              <w:rPr>
                <w:rFonts w:ascii="Times New Roman"/>
                <w:spacing w:val="35"/>
                <w:sz w:val="24"/>
              </w:rPr>
              <w:t xml:space="preserve"> </w:t>
            </w:r>
            <w:r>
              <w:rPr>
                <w:rFonts w:ascii="Times New Roman"/>
                <w:sz w:val="24"/>
              </w:rPr>
              <w:t>years</w:t>
            </w:r>
            <w:r>
              <w:rPr>
                <w:rFonts w:ascii="Times New Roman"/>
                <w:spacing w:val="31"/>
                <w:sz w:val="24"/>
              </w:rPr>
              <w:t xml:space="preserve"> </w:t>
            </w:r>
            <w:r>
              <w:rPr>
                <w:rFonts w:ascii="Times New Roman"/>
                <w:sz w:val="24"/>
              </w:rPr>
              <w:t>of</w:t>
            </w:r>
            <w:r>
              <w:rPr>
                <w:rFonts w:ascii="Times New Roman"/>
                <w:spacing w:val="29"/>
                <w:sz w:val="24"/>
              </w:rPr>
              <w:t xml:space="preserve"> </w:t>
            </w:r>
            <w:r>
              <w:rPr>
                <w:rFonts w:ascii="Times New Roman"/>
                <w:sz w:val="24"/>
              </w:rPr>
              <w:t>current</w:t>
            </w:r>
            <w:r>
              <w:rPr>
                <w:rFonts w:ascii="Times New Roman"/>
                <w:spacing w:val="32"/>
                <w:sz w:val="24"/>
              </w:rPr>
              <w:t xml:space="preserve"> </w:t>
            </w:r>
            <w:r>
              <w:rPr>
                <w:rFonts w:ascii="Times New Roman"/>
                <w:sz w:val="24"/>
              </w:rPr>
              <w:t>experience</w:t>
            </w:r>
            <w:r>
              <w:rPr>
                <w:rFonts w:ascii="Times New Roman"/>
                <w:spacing w:val="31"/>
                <w:sz w:val="24"/>
              </w:rPr>
              <w:t xml:space="preserve"> </w:t>
            </w:r>
            <w:r>
              <w:rPr>
                <w:rFonts w:ascii="Times New Roman"/>
                <w:sz w:val="24"/>
              </w:rPr>
              <w:t>providing similar residential services to a minimum of 7,000 residents in one municipality</w:t>
            </w:r>
            <w:r>
              <w:rPr>
                <w:rFonts w:ascii="Times New Roman"/>
                <w:spacing w:val="-5"/>
                <w:sz w:val="24"/>
              </w:rPr>
              <w:t xml:space="preserve"> </w:t>
            </w:r>
            <w:r>
              <w:rPr>
                <w:rFonts w:ascii="Times New Roman"/>
                <w:sz w:val="24"/>
              </w:rPr>
              <w:t>in Florida.</w:t>
            </w:r>
            <w:r>
              <w:rPr>
                <w:rFonts w:ascii="Times New Roman"/>
                <w:sz w:val="24"/>
              </w:rPr>
              <w:t>”</w:t>
            </w:r>
          </w:p>
        </w:tc>
      </w:tr>
    </w:tbl>
    <w:p w:rsidR="00AC4BA5" w:rsidRDefault="00AC4BA5" w:rsidP="00AC4BA5">
      <w:pPr>
        <w:spacing w:line="240" w:lineRule="auto"/>
        <w:contextualSpacing/>
        <w:rPr>
          <w:rFonts w:ascii="Palatino Linotype" w:hAnsi="Palatino Linotype"/>
          <w:sz w:val="24"/>
          <w:szCs w:val="24"/>
        </w:rPr>
      </w:pPr>
    </w:p>
    <w:tbl>
      <w:tblPr>
        <w:tblStyle w:val="TableGrid"/>
        <w:tblW w:w="0" w:type="auto"/>
        <w:tblLook w:val="04A0" w:firstRow="1" w:lastRow="0" w:firstColumn="1" w:lastColumn="0" w:noHBand="0" w:noVBand="1"/>
      </w:tblPr>
      <w:tblGrid>
        <w:gridCol w:w="9576"/>
      </w:tblGrid>
      <w:tr w:rsidR="00AC4BA5" w:rsidTr="00B171F7">
        <w:tc>
          <w:tcPr>
            <w:tcW w:w="9576" w:type="dxa"/>
            <w:shd w:val="clear" w:color="auto" w:fill="92D050"/>
          </w:tcPr>
          <w:p w:rsidR="00AC4BA5" w:rsidRDefault="00AC4BA5" w:rsidP="00B171F7">
            <w:pPr>
              <w:contextualSpacing/>
              <w:rPr>
                <w:rFonts w:ascii="Palatino Linotype" w:hAnsi="Palatino Linotype"/>
                <w:sz w:val="24"/>
                <w:szCs w:val="24"/>
              </w:rPr>
            </w:pPr>
            <w:r>
              <w:rPr>
                <w:rFonts w:ascii="Palatino Linotype" w:hAnsi="Palatino Linotype"/>
                <w:sz w:val="24"/>
                <w:szCs w:val="24"/>
              </w:rPr>
              <w:t>Indicates least cost for each proposal (type of service).</w:t>
            </w:r>
          </w:p>
        </w:tc>
      </w:tr>
    </w:tbl>
    <w:p w:rsidR="00AC4BA5" w:rsidRDefault="00AC4BA5" w:rsidP="00AC4BA5">
      <w:pPr>
        <w:spacing w:line="240" w:lineRule="auto"/>
        <w:contextualSpacing/>
        <w:rPr>
          <w:rFonts w:ascii="Palatino Linotype" w:hAnsi="Palatino Linotype"/>
          <w:sz w:val="24"/>
          <w:szCs w:val="24"/>
        </w:rPr>
      </w:pPr>
    </w:p>
    <w:p w:rsidR="003A3E45" w:rsidRDefault="003A3E45" w:rsidP="00E32847">
      <w:pPr>
        <w:spacing w:line="240" w:lineRule="auto"/>
        <w:contextualSpacing/>
        <w:rPr>
          <w:rFonts w:ascii="Palatino Linotype" w:hAnsi="Palatino Linotype"/>
          <w:sz w:val="24"/>
        </w:rPr>
      </w:pPr>
      <w:r>
        <w:rPr>
          <w:rFonts w:ascii="Palatino Linotype" w:hAnsi="Palatino Linotype"/>
          <w:sz w:val="24"/>
        </w:rPr>
        <w:t>Analysis of the Non-</w:t>
      </w:r>
      <w:r w:rsidR="00034B87">
        <w:rPr>
          <w:rFonts w:ascii="Palatino Linotype" w:hAnsi="Palatino Linotype"/>
          <w:sz w:val="24"/>
        </w:rPr>
        <w:t>Residential</w:t>
      </w:r>
      <w:r w:rsidR="00E32847">
        <w:rPr>
          <w:rFonts w:ascii="Palatino Linotype" w:hAnsi="Palatino Linotype"/>
          <w:sz w:val="24"/>
        </w:rPr>
        <w:t xml:space="preserve"> rates is</w:t>
      </w:r>
      <w:r>
        <w:rPr>
          <w:rFonts w:ascii="Palatino Linotype" w:hAnsi="Palatino Linotype"/>
          <w:sz w:val="24"/>
        </w:rPr>
        <w:t xml:space="preserve"> limited to the differential between the two Proposers. Waste Management is approximately 30% less than Waste Pro.  The price difference between </w:t>
      </w:r>
      <w:r w:rsidR="00AC4BA5">
        <w:rPr>
          <w:rFonts w:ascii="Palatino Linotype" w:hAnsi="Palatino Linotype"/>
          <w:sz w:val="24"/>
        </w:rPr>
        <w:t xml:space="preserve">residential service with or without exclusive </w:t>
      </w:r>
      <w:r w:rsidR="00292201">
        <w:rPr>
          <w:rFonts w:ascii="Palatino Linotype" w:hAnsi="Palatino Linotype"/>
          <w:sz w:val="24"/>
        </w:rPr>
        <w:t>commercial is</w:t>
      </w:r>
      <w:r>
        <w:rPr>
          <w:rFonts w:ascii="Palatino Linotype" w:hAnsi="Palatino Linotype"/>
          <w:sz w:val="24"/>
        </w:rPr>
        <w:t xml:space="preserve"> negligible</w:t>
      </w:r>
      <w:r w:rsidR="00292201">
        <w:rPr>
          <w:rFonts w:ascii="Palatino Linotype" w:hAnsi="Palatino Linotype"/>
          <w:sz w:val="24"/>
        </w:rPr>
        <w:t>;</w:t>
      </w:r>
      <w:r>
        <w:rPr>
          <w:rFonts w:ascii="Palatino Linotype" w:hAnsi="Palatino Linotype"/>
          <w:sz w:val="24"/>
        </w:rPr>
        <w:t xml:space="preserve"> </w:t>
      </w:r>
      <w:r w:rsidR="00AC4BA5">
        <w:rPr>
          <w:rFonts w:ascii="Palatino Linotype" w:hAnsi="Palatino Linotype"/>
          <w:sz w:val="24"/>
        </w:rPr>
        <w:t>therefore, the Committee concludes that due to the mandatory three</w:t>
      </w:r>
      <w:r w:rsidR="00292201">
        <w:rPr>
          <w:rFonts w:ascii="Palatino Linotype" w:hAnsi="Palatino Linotype"/>
          <w:sz w:val="24"/>
        </w:rPr>
        <w:t>-</w:t>
      </w:r>
      <w:r w:rsidR="00AC4BA5">
        <w:rPr>
          <w:rFonts w:ascii="Palatino Linotype" w:hAnsi="Palatino Linotype"/>
          <w:sz w:val="24"/>
        </w:rPr>
        <w:t xml:space="preserve">year moratorium, the move to exclusive commercial is premature.  </w:t>
      </w:r>
      <w:r w:rsidR="00292201">
        <w:rPr>
          <w:rFonts w:ascii="Palatino Linotype" w:hAnsi="Palatino Linotype"/>
          <w:sz w:val="24"/>
        </w:rPr>
        <w:t>Exclusive commercial can be evaluated an</w:t>
      </w:r>
      <w:r w:rsidR="00125E11">
        <w:rPr>
          <w:rFonts w:ascii="Palatino Linotype" w:hAnsi="Palatino Linotype"/>
          <w:sz w:val="24"/>
        </w:rPr>
        <w:t>d</w:t>
      </w:r>
      <w:r w:rsidR="00292201">
        <w:rPr>
          <w:rFonts w:ascii="Palatino Linotype" w:hAnsi="Palatino Linotype"/>
          <w:sz w:val="24"/>
        </w:rPr>
        <w:t xml:space="preserve"> instituted outside this RFP. </w:t>
      </w:r>
    </w:p>
    <w:p w:rsidR="003A3E45" w:rsidRPr="004747CE" w:rsidRDefault="003A3E45" w:rsidP="00D420CE">
      <w:pPr>
        <w:spacing w:line="240" w:lineRule="auto"/>
        <w:contextualSpacing/>
        <w:rPr>
          <w:rFonts w:ascii="Palatino Linotype" w:hAnsi="Palatino Linotype"/>
          <w:sz w:val="24"/>
        </w:rPr>
      </w:pPr>
    </w:p>
    <w:p w:rsidR="006C4402" w:rsidRPr="004747CE" w:rsidRDefault="006C4402" w:rsidP="00425AC9">
      <w:pPr>
        <w:spacing w:line="240" w:lineRule="auto"/>
        <w:contextualSpacing/>
        <w:rPr>
          <w:rFonts w:ascii="Palatino Linotype" w:hAnsi="Palatino Linotype"/>
          <w:sz w:val="24"/>
        </w:rPr>
      </w:pPr>
      <w:r w:rsidRPr="004747CE">
        <w:rPr>
          <w:rFonts w:ascii="Palatino Linotype" w:hAnsi="Palatino Linotype"/>
          <w:sz w:val="24"/>
        </w:rPr>
        <w:t xml:space="preserve">Waste Management is found to be the Most Responsive/Responsible Proposer since their proposal was </w:t>
      </w:r>
      <w:r w:rsidR="00B117FB">
        <w:rPr>
          <w:rFonts w:ascii="Palatino Linotype" w:hAnsi="Palatino Linotype"/>
          <w:sz w:val="24"/>
        </w:rPr>
        <w:t xml:space="preserve">the </w:t>
      </w:r>
      <w:r w:rsidRPr="004747CE">
        <w:rPr>
          <w:rFonts w:ascii="Palatino Linotype" w:hAnsi="Palatino Linotype"/>
          <w:sz w:val="24"/>
        </w:rPr>
        <w:t xml:space="preserve">least </w:t>
      </w:r>
      <w:r w:rsidR="00371EF8" w:rsidRPr="004747CE">
        <w:rPr>
          <w:rFonts w:ascii="Palatino Linotype" w:hAnsi="Palatino Linotype"/>
          <w:sz w:val="24"/>
        </w:rPr>
        <w:t xml:space="preserve">cost per residential dwelling unit for </w:t>
      </w:r>
      <w:r w:rsidR="00425AC9">
        <w:rPr>
          <w:rFonts w:ascii="Palatino Linotype" w:hAnsi="Palatino Linotype"/>
          <w:sz w:val="24"/>
        </w:rPr>
        <w:t xml:space="preserve">all categories of service. </w:t>
      </w:r>
    </w:p>
    <w:p w:rsidR="00D420CE" w:rsidRPr="004747CE" w:rsidRDefault="00D420CE" w:rsidP="00D420CE">
      <w:pPr>
        <w:spacing w:line="240" w:lineRule="auto"/>
        <w:contextualSpacing/>
        <w:rPr>
          <w:rFonts w:ascii="Palatino Linotype" w:hAnsi="Palatino Linotype"/>
          <w:sz w:val="24"/>
        </w:rPr>
      </w:pPr>
    </w:p>
    <w:p w:rsidR="004747CE" w:rsidRPr="00333A9A" w:rsidRDefault="00425AC9" w:rsidP="00425AC9">
      <w:pPr>
        <w:spacing w:line="240" w:lineRule="auto"/>
        <w:contextualSpacing/>
        <w:rPr>
          <w:rFonts w:ascii="Palatino Linotype" w:hAnsi="Palatino Linotype"/>
          <w:sz w:val="24"/>
          <w:u w:val="single"/>
        </w:rPr>
      </w:pPr>
      <w:r>
        <w:rPr>
          <w:rFonts w:ascii="Palatino Linotype" w:hAnsi="Palatino Linotype"/>
          <w:sz w:val="24"/>
          <w:u w:val="single"/>
        </w:rPr>
        <w:t xml:space="preserve">Waste Management’s </w:t>
      </w:r>
      <w:r w:rsidR="00715DDB" w:rsidRPr="00333A9A">
        <w:rPr>
          <w:rFonts w:ascii="Palatino Linotype" w:hAnsi="Palatino Linotype"/>
          <w:sz w:val="24"/>
          <w:u w:val="single"/>
        </w:rPr>
        <w:t xml:space="preserve">Other </w:t>
      </w:r>
      <w:r w:rsidR="00333A9A">
        <w:rPr>
          <w:rFonts w:ascii="Palatino Linotype" w:hAnsi="Palatino Linotype"/>
          <w:sz w:val="24"/>
          <w:u w:val="single"/>
        </w:rPr>
        <w:t xml:space="preserve">Proposal </w:t>
      </w:r>
      <w:r w:rsidR="00715DDB" w:rsidRPr="00333A9A">
        <w:rPr>
          <w:rFonts w:ascii="Palatino Linotype" w:hAnsi="Palatino Linotype"/>
          <w:sz w:val="24"/>
          <w:u w:val="single"/>
        </w:rPr>
        <w:t>I</w:t>
      </w:r>
      <w:r w:rsidR="00F95197" w:rsidRPr="00333A9A">
        <w:rPr>
          <w:rFonts w:ascii="Palatino Linotype" w:hAnsi="Palatino Linotype"/>
          <w:sz w:val="24"/>
          <w:u w:val="single"/>
        </w:rPr>
        <w:t>tems</w:t>
      </w:r>
      <w:r w:rsidR="00715DDB" w:rsidRPr="00333A9A">
        <w:rPr>
          <w:rFonts w:ascii="Palatino Linotype" w:hAnsi="Palatino Linotype"/>
          <w:sz w:val="24"/>
          <w:u w:val="single"/>
        </w:rPr>
        <w:t xml:space="preserve"> </w:t>
      </w:r>
    </w:p>
    <w:p w:rsidR="00715DDB" w:rsidRPr="00715DDB" w:rsidRDefault="00715DDB" w:rsidP="004E0F40">
      <w:pPr>
        <w:pStyle w:val="ListParagraph"/>
        <w:numPr>
          <w:ilvl w:val="0"/>
          <w:numId w:val="2"/>
        </w:numPr>
        <w:spacing w:line="240" w:lineRule="auto"/>
        <w:rPr>
          <w:rFonts w:ascii="Palatino Linotype" w:hAnsi="Palatino Linotype"/>
          <w:sz w:val="24"/>
        </w:rPr>
      </w:pPr>
      <w:r w:rsidRPr="00715DDB">
        <w:rPr>
          <w:rFonts w:ascii="Palatino Linotype" w:hAnsi="Palatino Linotype"/>
          <w:sz w:val="24"/>
        </w:rPr>
        <w:t>Waste Management will use three new compressed natural gas (CNG) automated side load vehicles to service the account</w:t>
      </w:r>
    </w:p>
    <w:p w:rsidR="00425AC9" w:rsidRDefault="00425AC9" w:rsidP="004E0F40">
      <w:pPr>
        <w:pStyle w:val="ListParagraph"/>
        <w:numPr>
          <w:ilvl w:val="0"/>
          <w:numId w:val="2"/>
        </w:numPr>
        <w:spacing w:line="240" w:lineRule="auto"/>
        <w:rPr>
          <w:rFonts w:ascii="Palatino Linotype" w:hAnsi="Palatino Linotype"/>
          <w:sz w:val="24"/>
        </w:rPr>
      </w:pPr>
      <w:r>
        <w:rPr>
          <w:rFonts w:ascii="Palatino Linotype" w:hAnsi="Palatino Linotype"/>
          <w:sz w:val="24"/>
        </w:rPr>
        <w:t xml:space="preserve">If curbside service is selected by the Commission, residents that would like to continue with alleyway service will be billed separately by the contractor at $35/month for the service </w:t>
      </w:r>
    </w:p>
    <w:p w:rsidR="00425AC9" w:rsidRDefault="00715DDB" w:rsidP="00425AC9">
      <w:pPr>
        <w:pStyle w:val="ListParagraph"/>
        <w:numPr>
          <w:ilvl w:val="0"/>
          <w:numId w:val="2"/>
        </w:numPr>
        <w:spacing w:line="240" w:lineRule="auto"/>
        <w:rPr>
          <w:rFonts w:ascii="Palatino Linotype" w:hAnsi="Palatino Linotype"/>
          <w:sz w:val="24"/>
        </w:rPr>
      </w:pPr>
      <w:r>
        <w:rPr>
          <w:rFonts w:ascii="Palatino Linotype" w:hAnsi="Palatino Linotype"/>
          <w:sz w:val="24"/>
        </w:rPr>
        <w:t xml:space="preserve">Waste Management as a Value Added benefit will offer a </w:t>
      </w:r>
      <w:r w:rsidRPr="00715DDB">
        <w:rPr>
          <w:rFonts w:ascii="Palatino Linotype" w:hAnsi="Palatino Linotype"/>
          <w:sz w:val="24"/>
        </w:rPr>
        <w:t xml:space="preserve">$5,000 annual scholarship commitment </w:t>
      </w:r>
    </w:p>
    <w:p w:rsidR="002E277F" w:rsidRDefault="002E277F" w:rsidP="002E277F">
      <w:pPr>
        <w:pStyle w:val="ListParagraph"/>
        <w:spacing w:line="240" w:lineRule="auto"/>
        <w:rPr>
          <w:rFonts w:ascii="Palatino Linotype" w:hAnsi="Palatino Linotype"/>
          <w:sz w:val="24"/>
        </w:rPr>
      </w:pPr>
    </w:p>
    <w:p w:rsidR="00425AC9" w:rsidRPr="002E277F" w:rsidRDefault="00425AC9" w:rsidP="002E277F">
      <w:pPr>
        <w:spacing w:line="240" w:lineRule="auto"/>
        <w:rPr>
          <w:rFonts w:ascii="Palatino Linotype" w:hAnsi="Palatino Linotype"/>
          <w:sz w:val="24"/>
          <w:u w:val="single"/>
        </w:rPr>
      </w:pPr>
      <w:r w:rsidRPr="002E277F">
        <w:rPr>
          <w:rFonts w:ascii="Palatino Linotype" w:hAnsi="Palatino Linotype"/>
          <w:sz w:val="24"/>
          <w:u w:val="single"/>
        </w:rPr>
        <w:t>Waste Pro’s Other Proposal Items</w:t>
      </w:r>
    </w:p>
    <w:p w:rsidR="00425AC9" w:rsidRDefault="002E277F" w:rsidP="002E277F">
      <w:pPr>
        <w:pStyle w:val="ListParagraph"/>
        <w:numPr>
          <w:ilvl w:val="0"/>
          <w:numId w:val="5"/>
        </w:numPr>
        <w:spacing w:line="240" w:lineRule="auto"/>
        <w:rPr>
          <w:rFonts w:ascii="Palatino Linotype" w:hAnsi="Palatino Linotype"/>
          <w:sz w:val="24"/>
        </w:rPr>
      </w:pPr>
      <w:r>
        <w:rPr>
          <w:rFonts w:ascii="Palatino Linotype" w:hAnsi="Palatino Linotype"/>
          <w:sz w:val="24"/>
        </w:rPr>
        <w:t>Waste Pro will use two</w:t>
      </w:r>
      <w:r w:rsidR="00425AC9" w:rsidRPr="002E277F">
        <w:rPr>
          <w:rFonts w:ascii="Palatino Linotype" w:hAnsi="Palatino Linotype"/>
          <w:sz w:val="24"/>
        </w:rPr>
        <w:t xml:space="preserve"> new compa</w:t>
      </w:r>
      <w:r w:rsidRPr="002E277F">
        <w:rPr>
          <w:rFonts w:ascii="Palatino Linotype" w:hAnsi="Palatino Linotype"/>
          <w:sz w:val="24"/>
        </w:rPr>
        <w:t>ction automated s</w:t>
      </w:r>
      <w:r w:rsidR="00425AC9" w:rsidRPr="002E277F">
        <w:rPr>
          <w:rFonts w:ascii="Palatino Linotype" w:hAnsi="Palatino Linotype"/>
          <w:sz w:val="24"/>
        </w:rPr>
        <w:t xml:space="preserve">ide load Mack truck, </w:t>
      </w:r>
      <w:r>
        <w:rPr>
          <w:rFonts w:ascii="Palatino Linotype" w:hAnsi="Palatino Linotype"/>
          <w:sz w:val="24"/>
        </w:rPr>
        <w:t xml:space="preserve">and </w:t>
      </w:r>
      <w:r w:rsidR="00425AC9" w:rsidRPr="002E277F">
        <w:rPr>
          <w:rFonts w:ascii="Palatino Linotype" w:hAnsi="Palatino Linotype"/>
          <w:sz w:val="24"/>
        </w:rPr>
        <w:t xml:space="preserve">one new </w:t>
      </w:r>
      <w:r>
        <w:rPr>
          <w:rFonts w:ascii="Palatino Linotype" w:hAnsi="Palatino Linotype"/>
          <w:sz w:val="24"/>
        </w:rPr>
        <w:t>a</w:t>
      </w:r>
      <w:r w:rsidR="00425AC9" w:rsidRPr="002E277F">
        <w:rPr>
          <w:rFonts w:ascii="Palatino Linotype" w:hAnsi="Palatino Linotype"/>
          <w:sz w:val="24"/>
        </w:rPr>
        <w:t xml:space="preserve">utomated </w:t>
      </w:r>
      <w:r w:rsidRPr="002E277F">
        <w:rPr>
          <w:rFonts w:ascii="Palatino Linotype" w:hAnsi="Palatino Linotype"/>
          <w:sz w:val="24"/>
        </w:rPr>
        <w:t>Mack truck</w:t>
      </w:r>
      <w:r>
        <w:rPr>
          <w:rFonts w:ascii="Palatino Linotype" w:hAnsi="Palatino Linotype"/>
          <w:sz w:val="24"/>
        </w:rPr>
        <w:t xml:space="preserve"> for recycling</w:t>
      </w:r>
      <w:r w:rsidR="00425AC9" w:rsidRPr="002E277F">
        <w:rPr>
          <w:rFonts w:ascii="Palatino Linotype" w:hAnsi="Palatino Linotype"/>
          <w:sz w:val="24"/>
        </w:rPr>
        <w:t xml:space="preserve"> </w:t>
      </w:r>
    </w:p>
    <w:p w:rsidR="002E277F" w:rsidRDefault="002E277F" w:rsidP="002E277F">
      <w:pPr>
        <w:pStyle w:val="ListParagraph"/>
        <w:numPr>
          <w:ilvl w:val="0"/>
          <w:numId w:val="5"/>
        </w:numPr>
        <w:spacing w:line="240" w:lineRule="auto"/>
        <w:rPr>
          <w:rFonts w:ascii="Palatino Linotype" w:hAnsi="Palatino Linotype"/>
          <w:sz w:val="24"/>
        </w:rPr>
      </w:pPr>
      <w:r>
        <w:rPr>
          <w:rFonts w:ascii="Palatino Linotype" w:hAnsi="Palatino Linotype"/>
          <w:sz w:val="24"/>
        </w:rPr>
        <w:t xml:space="preserve">If curbside service is selected by the Commission, residents that would like to continue with alleyway service will be billed separately by the contractor at $45/month for the service </w:t>
      </w:r>
    </w:p>
    <w:p w:rsidR="002E277F" w:rsidRPr="002E277F" w:rsidRDefault="002E277F" w:rsidP="002E277F">
      <w:pPr>
        <w:pStyle w:val="ListParagraph"/>
        <w:numPr>
          <w:ilvl w:val="0"/>
          <w:numId w:val="5"/>
        </w:numPr>
        <w:spacing w:line="240" w:lineRule="auto"/>
        <w:rPr>
          <w:rFonts w:ascii="Palatino Linotype" w:hAnsi="Palatino Linotype"/>
          <w:sz w:val="24"/>
        </w:rPr>
      </w:pPr>
      <w:r>
        <w:rPr>
          <w:rFonts w:ascii="Palatino Linotype" w:hAnsi="Palatino Linotype"/>
          <w:sz w:val="24"/>
        </w:rPr>
        <w:t>Two job fairs in the City with the objective of hiring qualified residents for open positions</w:t>
      </w:r>
    </w:p>
    <w:p w:rsidR="00425AC9" w:rsidRPr="002E277F" w:rsidRDefault="00E4544A" w:rsidP="000F2407">
      <w:pPr>
        <w:spacing w:line="240" w:lineRule="auto"/>
        <w:rPr>
          <w:rFonts w:ascii="Palatino Linotype" w:hAnsi="Palatino Linotype"/>
          <w:sz w:val="24"/>
        </w:rPr>
      </w:pPr>
      <w:r>
        <w:rPr>
          <w:rFonts w:ascii="Palatino Linotype" w:hAnsi="Palatino Linotype"/>
          <w:sz w:val="24"/>
        </w:rPr>
        <w:lastRenderedPageBreak/>
        <w:t>Public Services incorporated items to the RFP</w:t>
      </w:r>
      <w:r w:rsidR="00D44365">
        <w:rPr>
          <w:rFonts w:ascii="Palatino Linotype" w:hAnsi="Palatino Linotype"/>
          <w:sz w:val="24"/>
        </w:rPr>
        <w:t xml:space="preserve"> that will be different from the current</w:t>
      </w:r>
      <w:r w:rsidR="000F2407">
        <w:rPr>
          <w:rFonts w:ascii="Palatino Linotype" w:hAnsi="Palatino Linotype"/>
          <w:sz w:val="24"/>
        </w:rPr>
        <w:t xml:space="preserve"> contract that will apply to the Proposer.  Those items are:</w:t>
      </w:r>
      <w:r>
        <w:rPr>
          <w:rFonts w:ascii="Palatino Linotype" w:hAnsi="Palatino Linotype"/>
          <w:sz w:val="24"/>
        </w:rPr>
        <w:t xml:space="preserve">  </w:t>
      </w:r>
    </w:p>
    <w:p w:rsidR="00425AC9" w:rsidRDefault="00425AC9" w:rsidP="00425AC9">
      <w:pPr>
        <w:pStyle w:val="ListParagraph"/>
        <w:numPr>
          <w:ilvl w:val="0"/>
          <w:numId w:val="2"/>
        </w:numPr>
        <w:spacing w:line="240" w:lineRule="auto"/>
        <w:rPr>
          <w:rFonts w:ascii="Palatino Linotype" w:hAnsi="Palatino Linotype"/>
          <w:sz w:val="24"/>
        </w:rPr>
      </w:pPr>
      <w:r>
        <w:rPr>
          <w:rFonts w:ascii="Palatino Linotype" w:hAnsi="Palatino Linotype"/>
          <w:sz w:val="24"/>
        </w:rPr>
        <w:t>N</w:t>
      </w:r>
      <w:r w:rsidRPr="00715DDB">
        <w:rPr>
          <w:rFonts w:ascii="Palatino Linotype" w:hAnsi="Palatino Linotype"/>
          <w:sz w:val="24"/>
        </w:rPr>
        <w:t xml:space="preserve">ew recycling </w:t>
      </w:r>
      <w:proofErr w:type="spellStart"/>
      <w:r w:rsidRPr="00715DDB">
        <w:rPr>
          <w:rFonts w:ascii="Palatino Linotype" w:hAnsi="Palatino Linotype"/>
          <w:sz w:val="24"/>
        </w:rPr>
        <w:t>toters</w:t>
      </w:r>
      <w:proofErr w:type="spellEnd"/>
      <w:r w:rsidRPr="00715DDB">
        <w:rPr>
          <w:rFonts w:ascii="Palatino Linotype" w:hAnsi="Palatino Linotype"/>
          <w:sz w:val="24"/>
        </w:rPr>
        <w:t xml:space="preserve"> to replace existing</w:t>
      </w:r>
      <w:r>
        <w:rPr>
          <w:rFonts w:ascii="Palatino Linotype" w:hAnsi="Palatino Linotype"/>
          <w:sz w:val="24"/>
        </w:rPr>
        <w:t xml:space="preserve"> recycling</w:t>
      </w:r>
      <w:r w:rsidRPr="00715DDB">
        <w:rPr>
          <w:rFonts w:ascii="Palatino Linotype" w:hAnsi="Palatino Linotype"/>
          <w:sz w:val="24"/>
        </w:rPr>
        <w:t xml:space="preserve"> bins</w:t>
      </w:r>
    </w:p>
    <w:p w:rsidR="000F2407" w:rsidRPr="00715DDB" w:rsidRDefault="000F2407" w:rsidP="000F2407">
      <w:pPr>
        <w:pStyle w:val="ListParagraph"/>
        <w:numPr>
          <w:ilvl w:val="0"/>
          <w:numId w:val="2"/>
        </w:numPr>
        <w:spacing w:line="240" w:lineRule="auto"/>
        <w:rPr>
          <w:rFonts w:ascii="Palatino Linotype" w:hAnsi="Palatino Linotype"/>
          <w:sz w:val="24"/>
        </w:rPr>
      </w:pPr>
      <w:r w:rsidRPr="00715DDB">
        <w:rPr>
          <w:rFonts w:ascii="Palatino Linotype" w:hAnsi="Palatino Linotype"/>
          <w:sz w:val="24"/>
        </w:rPr>
        <w:t>$12,500 month</w:t>
      </w:r>
      <w:r>
        <w:rPr>
          <w:rFonts w:ascii="Palatino Linotype" w:hAnsi="Palatino Linotype"/>
          <w:sz w:val="24"/>
        </w:rPr>
        <w:t>ly</w:t>
      </w:r>
      <w:r w:rsidRPr="00715DDB">
        <w:rPr>
          <w:rFonts w:ascii="Palatino Linotype" w:hAnsi="Palatino Linotype"/>
          <w:sz w:val="24"/>
        </w:rPr>
        <w:t xml:space="preserve"> fee paid to the City by the contractor for the purpose of offsetting the costs associate</w:t>
      </w:r>
      <w:r>
        <w:rPr>
          <w:rFonts w:ascii="Palatino Linotype" w:hAnsi="Palatino Linotype"/>
          <w:sz w:val="24"/>
        </w:rPr>
        <w:t>d with facilitating the contract, billing</w:t>
      </w:r>
      <w:r w:rsidRPr="00715DDB">
        <w:rPr>
          <w:rFonts w:ascii="Palatino Linotype" w:hAnsi="Palatino Linotype"/>
          <w:sz w:val="24"/>
        </w:rPr>
        <w:t xml:space="preserve"> and solid waste collection in the City</w:t>
      </w:r>
    </w:p>
    <w:p w:rsidR="000F2407" w:rsidRPr="00715DDB" w:rsidRDefault="000F2407" w:rsidP="000F2407">
      <w:pPr>
        <w:pStyle w:val="ListParagraph"/>
        <w:numPr>
          <w:ilvl w:val="0"/>
          <w:numId w:val="2"/>
        </w:numPr>
        <w:spacing w:line="240" w:lineRule="auto"/>
        <w:rPr>
          <w:rFonts w:ascii="Palatino Linotype" w:hAnsi="Palatino Linotype"/>
          <w:sz w:val="24"/>
        </w:rPr>
      </w:pPr>
      <w:r w:rsidRPr="00715DDB">
        <w:rPr>
          <w:rFonts w:ascii="Palatino Linotype" w:hAnsi="Palatino Linotype"/>
          <w:sz w:val="24"/>
        </w:rPr>
        <w:t xml:space="preserve">Residents requiring additional </w:t>
      </w:r>
      <w:proofErr w:type="spellStart"/>
      <w:r w:rsidRPr="00715DDB">
        <w:rPr>
          <w:rFonts w:ascii="Palatino Linotype" w:hAnsi="Palatino Linotype"/>
          <w:sz w:val="24"/>
        </w:rPr>
        <w:t>toter</w:t>
      </w:r>
      <w:r>
        <w:rPr>
          <w:rFonts w:ascii="Palatino Linotype" w:hAnsi="Palatino Linotype"/>
          <w:sz w:val="24"/>
        </w:rPr>
        <w:t>s</w:t>
      </w:r>
      <w:proofErr w:type="spellEnd"/>
      <w:r w:rsidRPr="00715DDB">
        <w:rPr>
          <w:rFonts w:ascii="Palatino Linotype" w:hAnsi="Palatino Linotype"/>
          <w:sz w:val="24"/>
        </w:rPr>
        <w:t xml:space="preserve"> will be billed by the contractor for the services</w:t>
      </w:r>
    </w:p>
    <w:p w:rsidR="00715DDB" w:rsidRPr="00715DDB" w:rsidRDefault="000F2407" w:rsidP="004E0F40">
      <w:pPr>
        <w:pStyle w:val="ListParagraph"/>
        <w:numPr>
          <w:ilvl w:val="0"/>
          <w:numId w:val="2"/>
        </w:numPr>
        <w:spacing w:line="240" w:lineRule="auto"/>
        <w:rPr>
          <w:rFonts w:ascii="Palatino Linotype" w:hAnsi="Palatino Linotype"/>
          <w:sz w:val="24"/>
        </w:rPr>
      </w:pPr>
      <w:r>
        <w:rPr>
          <w:rFonts w:ascii="Palatino Linotype" w:hAnsi="Palatino Linotype"/>
          <w:sz w:val="24"/>
        </w:rPr>
        <w:t>T</w:t>
      </w:r>
      <w:r w:rsidR="00715DDB">
        <w:rPr>
          <w:rFonts w:ascii="Palatino Linotype" w:hAnsi="Palatino Linotype"/>
          <w:sz w:val="24"/>
        </w:rPr>
        <w:t>he contract contains a true-up clause that will rebate the City if the project</w:t>
      </w:r>
      <w:r w:rsidR="00333A9A">
        <w:rPr>
          <w:rFonts w:ascii="Palatino Linotype" w:hAnsi="Palatino Linotype"/>
          <w:sz w:val="24"/>
        </w:rPr>
        <w:t>ed</w:t>
      </w:r>
      <w:r w:rsidR="00715DDB">
        <w:rPr>
          <w:rFonts w:ascii="Palatino Linotype" w:hAnsi="Palatino Linotype"/>
          <w:sz w:val="24"/>
        </w:rPr>
        <w:t xml:space="preserve"> volume of residential MSW is not delivered to the Designated Facility</w:t>
      </w:r>
    </w:p>
    <w:p w:rsidR="00715DDB" w:rsidRDefault="00715DDB">
      <w:pPr>
        <w:spacing w:line="240" w:lineRule="auto"/>
        <w:contextualSpacing/>
        <w:rPr>
          <w:rFonts w:ascii="Palatino Linotype" w:hAnsi="Palatino Linotype"/>
          <w:sz w:val="24"/>
        </w:rPr>
      </w:pPr>
    </w:p>
    <w:p w:rsidR="00F95197" w:rsidRPr="00DB2852" w:rsidRDefault="006B7283" w:rsidP="00DB2852">
      <w:pPr>
        <w:spacing w:line="240" w:lineRule="auto"/>
        <w:contextualSpacing/>
        <w:rPr>
          <w:rFonts w:ascii="Palatino Linotype" w:hAnsi="Palatino Linotype"/>
          <w:sz w:val="24"/>
          <w:u w:val="single"/>
        </w:rPr>
      </w:pPr>
      <w:r w:rsidRPr="00DB2852">
        <w:rPr>
          <w:rFonts w:ascii="Palatino Linotype" w:hAnsi="Palatino Linotype"/>
          <w:sz w:val="24"/>
          <w:u w:val="single"/>
        </w:rPr>
        <w:t xml:space="preserve">Type of Service </w:t>
      </w:r>
      <w:r w:rsidR="00333A9A" w:rsidRPr="00DB2852">
        <w:rPr>
          <w:rFonts w:ascii="Palatino Linotype" w:hAnsi="Palatino Linotype"/>
          <w:sz w:val="24"/>
          <w:u w:val="single"/>
        </w:rPr>
        <w:t xml:space="preserve"> </w:t>
      </w:r>
    </w:p>
    <w:p w:rsidR="00333A9A" w:rsidRDefault="00333A9A">
      <w:pPr>
        <w:spacing w:line="240" w:lineRule="auto"/>
        <w:contextualSpacing/>
        <w:rPr>
          <w:rFonts w:ascii="Palatino Linotype" w:hAnsi="Palatino Linotype"/>
          <w:sz w:val="24"/>
        </w:rPr>
      </w:pPr>
    </w:p>
    <w:p w:rsidR="00333A9A" w:rsidRDefault="00333A9A" w:rsidP="000F2407">
      <w:pPr>
        <w:spacing w:line="240" w:lineRule="auto"/>
        <w:contextualSpacing/>
        <w:rPr>
          <w:rFonts w:ascii="Palatino Linotype" w:hAnsi="Palatino Linotype"/>
          <w:sz w:val="24"/>
        </w:rPr>
      </w:pPr>
      <w:r>
        <w:rPr>
          <w:rFonts w:ascii="Palatino Linotype" w:hAnsi="Palatino Linotype"/>
          <w:sz w:val="24"/>
        </w:rPr>
        <w:t>The Administration requests that the City Commission select</w:t>
      </w:r>
      <w:r w:rsidR="000F2407">
        <w:rPr>
          <w:rFonts w:ascii="Palatino Linotype" w:hAnsi="Palatino Linotype"/>
          <w:sz w:val="24"/>
        </w:rPr>
        <w:t xml:space="preserve"> the </w:t>
      </w:r>
      <w:r>
        <w:rPr>
          <w:rFonts w:ascii="Palatino Linotype" w:hAnsi="Palatino Linotype"/>
          <w:sz w:val="24"/>
        </w:rPr>
        <w:t xml:space="preserve">type </w:t>
      </w:r>
      <w:r w:rsidR="000F2407">
        <w:rPr>
          <w:rFonts w:ascii="Palatino Linotype" w:hAnsi="Palatino Linotype"/>
          <w:sz w:val="24"/>
        </w:rPr>
        <w:t xml:space="preserve">and level </w:t>
      </w:r>
      <w:r>
        <w:rPr>
          <w:rFonts w:ascii="Palatino Linotype" w:hAnsi="Palatino Linotype"/>
          <w:sz w:val="24"/>
        </w:rPr>
        <w:t>of service</w:t>
      </w:r>
      <w:r w:rsidR="00DB2852">
        <w:rPr>
          <w:rFonts w:ascii="Palatino Linotype" w:hAnsi="Palatino Linotype"/>
          <w:sz w:val="24"/>
        </w:rPr>
        <w:t>.  The RFP asked for four types of service</w:t>
      </w:r>
      <w:r w:rsidR="0061417E">
        <w:rPr>
          <w:rFonts w:ascii="Palatino Linotype" w:hAnsi="Palatino Linotype"/>
          <w:sz w:val="24"/>
        </w:rPr>
        <w:t xml:space="preserve"> to consider pricing for curbside vers</w:t>
      </w:r>
      <w:r w:rsidR="0099400E">
        <w:rPr>
          <w:rFonts w:ascii="Palatino Linotype" w:hAnsi="Palatino Linotype"/>
          <w:sz w:val="24"/>
        </w:rPr>
        <w:t>us</w:t>
      </w:r>
      <w:r w:rsidR="0061417E">
        <w:rPr>
          <w:rFonts w:ascii="Palatino Linotype" w:hAnsi="Palatino Linotype"/>
          <w:sz w:val="24"/>
        </w:rPr>
        <w:t xml:space="preserve"> alleyway pick-up and the impact of an exclusive commercial franchise to the residential rate</w:t>
      </w:r>
      <w:r w:rsidR="00DB2852">
        <w:rPr>
          <w:rFonts w:ascii="Palatino Linotype" w:hAnsi="Palatino Linotype"/>
          <w:sz w:val="24"/>
        </w:rPr>
        <w:t xml:space="preserve">: </w:t>
      </w:r>
    </w:p>
    <w:p w:rsidR="00333A9A" w:rsidRDefault="00333A9A">
      <w:pPr>
        <w:spacing w:line="240" w:lineRule="auto"/>
        <w:contextualSpacing/>
        <w:rPr>
          <w:rFonts w:ascii="Palatino Linotype" w:hAnsi="Palatino Linotype"/>
          <w:sz w:val="24"/>
        </w:rPr>
      </w:pPr>
    </w:p>
    <w:p w:rsidR="00333A9A" w:rsidRPr="00DB2852" w:rsidRDefault="00333A9A" w:rsidP="00DB2852">
      <w:pPr>
        <w:pStyle w:val="ListParagraph"/>
        <w:numPr>
          <w:ilvl w:val="0"/>
          <w:numId w:val="3"/>
        </w:numPr>
        <w:spacing w:line="240" w:lineRule="auto"/>
        <w:rPr>
          <w:rFonts w:ascii="Palatino Linotype" w:hAnsi="Palatino Linotype"/>
          <w:sz w:val="24"/>
        </w:rPr>
      </w:pPr>
      <w:r w:rsidRPr="0061417E">
        <w:rPr>
          <w:rFonts w:ascii="Palatino Linotype" w:hAnsi="Palatino Linotype"/>
          <w:b/>
          <w:bCs/>
          <w:sz w:val="24"/>
        </w:rPr>
        <w:t>Primary Proposal</w:t>
      </w:r>
      <w:r w:rsidRPr="00DB2852">
        <w:rPr>
          <w:rFonts w:ascii="Palatino Linotype" w:hAnsi="Palatino Linotype"/>
          <w:sz w:val="24"/>
        </w:rPr>
        <w:t xml:space="preserve"> </w:t>
      </w:r>
      <w:r w:rsidR="00557F76" w:rsidRPr="00DB2852">
        <w:rPr>
          <w:rFonts w:ascii="Palatino Linotype" w:hAnsi="Palatino Linotype"/>
          <w:sz w:val="24"/>
        </w:rPr>
        <w:t>–</w:t>
      </w:r>
      <w:r w:rsidRPr="00DB2852">
        <w:rPr>
          <w:rFonts w:ascii="Palatino Linotype" w:hAnsi="Palatino Linotype"/>
          <w:sz w:val="24"/>
        </w:rPr>
        <w:t xml:space="preserve"> Residen</w:t>
      </w:r>
      <w:r w:rsidR="00557F76" w:rsidRPr="00DB2852">
        <w:rPr>
          <w:rFonts w:ascii="Palatino Linotype" w:hAnsi="Palatino Linotype"/>
          <w:sz w:val="24"/>
        </w:rPr>
        <w:t xml:space="preserve">tial curbside </w:t>
      </w:r>
      <w:r w:rsidR="00973AC7" w:rsidRPr="00DB2852">
        <w:rPr>
          <w:rFonts w:ascii="Palatino Linotype" w:hAnsi="Palatino Linotype"/>
          <w:sz w:val="24"/>
        </w:rPr>
        <w:t xml:space="preserve">service that </w:t>
      </w:r>
      <w:r w:rsidR="006B7283" w:rsidRPr="00DB2852">
        <w:rPr>
          <w:rFonts w:ascii="Palatino Linotype" w:hAnsi="Palatino Linotype"/>
          <w:sz w:val="24"/>
        </w:rPr>
        <w:t>will require all</w:t>
      </w:r>
      <w:r w:rsidR="00973AC7" w:rsidRPr="00DB2852">
        <w:rPr>
          <w:rFonts w:ascii="Palatino Linotype" w:hAnsi="Palatino Linotype"/>
          <w:sz w:val="24"/>
        </w:rPr>
        <w:t xml:space="preserve"> </w:t>
      </w:r>
      <w:r w:rsidR="006B7283" w:rsidRPr="00DB2852">
        <w:rPr>
          <w:rFonts w:ascii="Palatino Linotype" w:hAnsi="Palatino Linotype"/>
          <w:sz w:val="24"/>
        </w:rPr>
        <w:t xml:space="preserve">7,251 </w:t>
      </w:r>
      <w:r w:rsidR="00973AC7" w:rsidRPr="00DB2852">
        <w:rPr>
          <w:rFonts w:ascii="Palatino Linotype" w:hAnsi="Palatino Linotype"/>
          <w:sz w:val="24"/>
        </w:rPr>
        <w:t xml:space="preserve">residential dwelling units to </w:t>
      </w:r>
      <w:r w:rsidR="00557F76" w:rsidRPr="00DB2852">
        <w:rPr>
          <w:rFonts w:ascii="Palatino Linotype" w:hAnsi="Palatino Linotype"/>
          <w:sz w:val="24"/>
        </w:rPr>
        <w:t xml:space="preserve">set their </w:t>
      </w:r>
      <w:proofErr w:type="spellStart"/>
      <w:r w:rsidR="00557F76" w:rsidRPr="00DB2852">
        <w:rPr>
          <w:rFonts w:ascii="Palatino Linotype" w:hAnsi="Palatino Linotype"/>
          <w:sz w:val="24"/>
        </w:rPr>
        <w:t>toters</w:t>
      </w:r>
      <w:proofErr w:type="spellEnd"/>
      <w:r w:rsidR="00557F76" w:rsidRPr="00DB2852">
        <w:rPr>
          <w:rFonts w:ascii="Palatino Linotype" w:hAnsi="Palatino Linotype"/>
          <w:sz w:val="24"/>
        </w:rPr>
        <w:t xml:space="preserve"> and bulk waste on the curb.</w:t>
      </w:r>
      <w:r w:rsidR="006B7283" w:rsidRPr="00DB2852">
        <w:rPr>
          <w:rFonts w:ascii="Palatino Linotype" w:hAnsi="Palatino Linotype"/>
          <w:sz w:val="24"/>
        </w:rPr>
        <w:t xml:space="preserve">  Currently, 85% of the residential dwelling units have curbside service.</w:t>
      </w:r>
    </w:p>
    <w:p w:rsidR="006B7283" w:rsidRPr="00DB2852" w:rsidRDefault="00557F76" w:rsidP="00411912">
      <w:pPr>
        <w:pStyle w:val="ListParagraph"/>
        <w:numPr>
          <w:ilvl w:val="0"/>
          <w:numId w:val="3"/>
        </w:numPr>
        <w:spacing w:before="240" w:line="240" w:lineRule="auto"/>
        <w:rPr>
          <w:rFonts w:ascii="Palatino Linotype" w:hAnsi="Palatino Linotype"/>
          <w:sz w:val="24"/>
        </w:rPr>
      </w:pPr>
      <w:r w:rsidRPr="0061417E">
        <w:rPr>
          <w:rFonts w:ascii="Palatino Linotype" w:hAnsi="Palatino Linotype"/>
          <w:b/>
          <w:bCs/>
          <w:sz w:val="24"/>
        </w:rPr>
        <w:t>Alternate 1</w:t>
      </w:r>
      <w:r w:rsidRPr="00DB2852">
        <w:rPr>
          <w:rFonts w:ascii="Palatino Linotype" w:hAnsi="Palatino Linotype"/>
          <w:sz w:val="24"/>
        </w:rPr>
        <w:t xml:space="preserve"> – Residential </w:t>
      </w:r>
      <w:r w:rsidR="00411912">
        <w:rPr>
          <w:rFonts w:ascii="Palatino Linotype" w:hAnsi="Palatino Linotype"/>
          <w:sz w:val="24"/>
        </w:rPr>
        <w:t>s</w:t>
      </w:r>
      <w:r w:rsidRPr="00DB2852">
        <w:rPr>
          <w:rFonts w:ascii="Palatino Linotype" w:hAnsi="Palatino Linotype"/>
          <w:sz w:val="24"/>
        </w:rPr>
        <w:t xml:space="preserve">ervice that includes </w:t>
      </w:r>
      <w:r w:rsidR="006B7283" w:rsidRPr="00DB2852">
        <w:rPr>
          <w:rFonts w:ascii="Palatino Linotype" w:hAnsi="Palatino Linotype"/>
          <w:sz w:val="24"/>
        </w:rPr>
        <w:t xml:space="preserve">alleyway pick-up for </w:t>
      </w:r>
      <w:r w:rsidR="00973AC7" w:rsidRPr="00DB2852">
        <w:rPr>
          <w:rFonts w:ascii="Palatino Linotype" w:hAnsi="Palatino Linotype"/>
          <w:sz w:val="24"/>
        </w:rPr>
        <w:t xml:space="preserve">those </w:t>
      </w:r>
      <w:bookmarkStart w:id="0" w:name="_GoBack"/>
      <w:bookmarkEnd w:id="0"/>
      <w:r w:rsidR="00973AC7" w:rsidRPr="00DB2852">
        <w:rPr>
          <w:rFonts w:ascii="Palatino Linotype" w:hAnsi="Palatino Linotype"/>
          <w:sz w:val="24"/>
        </w:rPr>
        <w:t>residents on alle</w:t>
      </w:r>
      <w:r w:rsidRPr="00DB2852">
        <w:rPr>
          <w:rFonts w:ascii="Palatino Linotype" w:hAnsi="Palatino Linotype"/>
          <w:sz w:val="24"/>
        </w:rPr>
        <w:t>y</w:t>
      </w:r>
      <w:r w:rsidR="00973AC7" w:rsidRPr="00DB2852">
        <w:rPr>
          <w:rFonts w:ascii="Palatino Linotype" w:hAnsi="Palatino Linotype"/>
          <w:sz w:val="24"/>
        </w:rPr>
        <w:t>way</w:t>
      </w:r>
      <w:r w:rsidR="006B7283" w:rsidRPr="00DB2852">
        <w:rPr>
          <w:rFonts w:ascii="Palatino Linotype" w:hAnsi="Palatino Linotype"/>
          <w:sz w:val="24"/>
        </w:rPr>
        <w:t xml:space="preserve"> (approximately 1,</w:t>
      </w:r>
      <w:r w:rsidR="0099400E">
        <w:rPr>
          <w:rFonts w:ascii="Palatino Linotype" w:hAnsi="Palatino Linotype"/>
          <w:sz w:val="24"/>
        </w:rPr>
        <w:t>1</w:t>
      </w:r>
      <w:r w:rsidR="006B7283" w:rsidRPr="00DB2852">
        <w:rPr>
          <w:rFonts w:ascii="Palatino Linotype" w:hAnsi="Palatino Linotype"/>
          <w:sz w:val="24"/>
        </w:rPr>
        <w:t>00 dwelling unit</w:t>
      </w:r>
      <w:r w:rsidR="00125E11">
        <w:rPr>
          <w:rFonts w:ascii="Palatino Linotype" w:hAnsi="Palatino Linotype"/>
          <w:sz w:val="24"/>
        </w:rPr>
        <w:t>s</w:t>
      </w:r>
      <w:r w:rsidR="006B7283" w:rsidRPr="00DB2852">
        <w:rPr>
          <w:rFonts w:ascii="Palatino Linotype" w:hAnsi="Palatino Linotype"/>
          <w:sz w:val="24"/>
        </w:rPr>
        <w:t xml:space="preserve"> or 15%)</w:t>
      </w:r>
      <w:r w:rsidR="00973AC7" w:rsidRPr="00DB2852">
        <w:rPr>
          <w:rFonts w:ascii="Palatino Linotype" w:hAnsi="Palatino Linotype"/>
          <w:sz w:val="24"/>
        </w:rPr>
        <w:t xml:space="preserve">.  This is the </w:t>
      </w:r>
      <w:r w:rsidR="006B7283" w:rsidRPr="00DB2852">
        <w:rPr>
          <w:rFonts w:ascii="Palatino Linotype" w:hAnsi="Palatino Linotype"/>
          <w:sz w:val="24"/>
        </w:rPr>
        <w:t xml:space="preserve">type of </w:t>
      </w:r>
      <w:r w:rsidR="00973AC7" w:rsidRPr="00DB2852">
        <w:rPr>
          <w:rFonts w:ascii="Palatino Linotype" w:hAnsi="Palatino Linotype"/>
          <w:sz w:val="24"/>
        </w:rPr>
        <w:t>service</w:t>
      </w:r>
      <w:r w:rsidR="00411912">
        <w:rPr>
          <w:rFonts w:ascii="Palatino Linotype" w:hAnsi="Palatino Linotype"/>
          <w:sz w:val="24"/>
        </w:rPr>
        <w:t xml:space="preserve"> the City currently provides</w:t>
      </w:r>
      <w:r w:rsidR="006B7283" w:rsidRPr="00DB2852">
        <w:rPr>
          <w:rFonts w:ascii="Palatino Linotype" w:hAnsi="Palatino Linotype"/>
          <w:sz w:val="24"/>
        </w:rPr>
        <w:t>.</w:t>
      </w:r>
    </w:p>
    <w:p w:rsidR="00557F76" w:rsidRPr="00DB2852" w:rsidRDefault="006B7283" w:rsidP="00DB2852">
      <w:pPr>
        <w:pStyle w:val="ListParagraph"/>
        <w:numPr>
          <w:ilvl w:val="0"/>
          <w:numId w:val="3"/>
        </w:numPr>
        <w:spacing w:before="240" w:line="240" w:lineRule="auto"/>
        <w:rPr>
          <w:rFonts w:ascii="Palatino Linotype" w:hAnsi="Palatino Linotype"/>
          <w:sz w:val="24"/>
        </w:rPr>
      </w:pPr>
      <w:r w:rsidRPr="0061417E">
        <w:rPr>
          <w:rFonts w:ascii="Palatino Linotype" w:hAnsi="Palatino Linotype"/>
          <w:b/>
          <w:bCs/>
          <w:sz w:val="24"/>
        </w:rPr>
        <w:t>Alternate 2</w:t>
      </w:r>
      <w:r w:rsidRPr="00DB2852">
        <w:rPr>
          <w:rFonts w:ascii="Palatino Linotype" w:hAnsi="Palatino Linotype"/>
          <w:sz w:val="24"/>
        </w:rPr>
        <w:t xml:space="preserve"> </w:t>
      </w:r>
      <w:r w:rsidR="0061417E" w:rsidRPr="00DB2852">
        <w:rPr>
          <w:rFonts w:ascii="Palatino Linotype" w:hAnsi="Palatino Linotype"/>
          <w:sz w:val="24"/>
        </w:rPr>
        <w:t>- Residential</w:t>
      </w:r>
      <w:r w:rsidRPr="00DB2852">
        <w:rPr>
          <w:rFonts w:ascii="Palatino Linotype" w:hAnsi="Palatino Linotype"/>
          <w:sz w:val="24"/>
        </w:rPr>
        <w:t xml:space="preserve"> curbside service and </w:t>
      </w:r>
      <w:r w:rsidR="00411912">
        <w:rPr>
          <w:rFonts w:ascii="Palatino Linotype" w:hAnsi="Palatino Linotype"/>
          <w:sz w:val="24"/>
        </w:rPr>
        <w:t>that</w:t>
      </w:r>
      <w:r w:rsidRPr="00DB2852">
        <w:rPr>
          <w:rFonts w:ascii="Palatino Linotype" w:hAnsi="Palatino Linotype"/>
          <w:sz w:val="24"/>
        </w:rPr>
        <w:t xml:space="preserve"> include</w:t>
      </w:r>
      <w:r w:rsidR="00411912">
        <w:rPr>
          <w:rFonts w:ascii="Palatino Linotype" w:hAnsi="Palatino Linotype"/>
          <w:sz w:val="24"/>
        </w:rPr>
        <w:t>s</w:t>
      </w:r>
      <w:r w:rsidRPr="00DB2852">
        <w:rPr>
          <w:rFonts w:ascii="Palatino Linotype" w:hAnsi="Palatino Linotype"/>
          <w:sz w:val="24"/>
        </w:rPr>
        <w:t xml:space="preserve"> </w:t>
      </w:r>
      <w:r w:rsidR="00B00C9F">
        <w:rPr>
          <w:rFonts w:ascii="Palatino Linotype" w:hAnsi="Palatino Linotype"/>
          <w:sz w:val="24"/>
        </w:rPr>
        <w:t>N</w:t>
      </w:r>
      <w:r w:rsidRPr="00DB2852">
        <w:rPr>
          <w:rFonts w:ascii="Palatino Linotype" w:hAnsi="Palatino Linotype"/>
          <w:sz w:val="24"/>
        </w:rPr>
        <w:t>on-</w:t>
      </w:r>
      <w:r w:rsidR="00B00C9F">
        <w:rPr>
          <w:rFonts w:ascii="Palatino Linotype" w:hAnsi="Palatino Linotype"/>
          <w:sz w:val="24"/>
        </w:rPr>
        <w:t>R</w:t>
      </w:r>
      <w:r w:rsidRPr="00DB2852">
        <w:rPr>
          <w:rFonts w:ascii="Palatino Linotype" w:hAnsi="Palatino Linotype"/>
          <w:sz w:val="24"/>
        </w:rPr>
        <w:t>esidential servic</w:t>
      </w:r>
      <w:r w:rsidR="00DB2852">
        <w:rPr>
          <w:rFonts w:ascii="Palatino Linotype" w:hAnsi="Palatino Linotype"/>
          <w:sz w:val="24"/>
        </w:rPr>
        <w:t>e.  The C</w:t>
      </w:r>
      <w:r w:rsidRPr="00DB2852">
        <w:rPr>
          <w:rFonts w:ascii="Palatino Linotype" w:hAnsi="Palatino Linotype"/>
          <w:sz w:val="24"/>
        </w:rPr>
        <w:t>ity will offer an exclusive commercial franchise to the contractor</w:t>
      </w:r>
      <w:r w:rsidR="00DB2852">
        <w:rPr>
          <w:rFonts w:ascii="Palatino Linotype" w:hAnsi="Palatino Linotype"/>
          <w:sz w:val="24"/>
        </w:rPr>
        <w:t xml:space="preserve"> in three years</w:t>
      </w:r>
      <w:r w:rsidRPr="00DB2852">
        <w:rPr>
          <w:rFonts w:ascii="Palatino Linotype" w:hAnsi="Palatino Linotype"/>
          <w:sz w:val="24"/>
        </w:rPr>
        <w:t xml:space="preserve">.  </w:t>
      </w:r>
    </w:p>
    <w:p w:rsidR="006B7283" w:rsidRDefault="006B7283" w:rsidP="00411912">
      <w:pPr>
        <w:pStyle w:val="ListParagraph"/>
        <w:numPr>
          <w:ilvl w:val="0"/>
          <w:numId w:val="3"/>
        </w:numPr>
        <w:spacing w:before="240" w:line="240" w:lineRule="auto"/>
        <w:rPr>
          <w:rFonts w:ascii="Palatino Linotype" w:hAnsi="Palatino Linotype"/>
          <w:sz w:val="24"/>
        </w:rPr>
      </w:pPr>
      <w:r w:rsidRPr="0061417E">
        <w:rPr>
          <w:rFonts w:ascii="Palatino Linotype" w:hAnsi="Palatino Linotype"/>
          <w:b/>
          <w:bCs/>
          <w:sz w:val="24"/>
        </w:rPr>
        <w:t>Alternate 3</w:t>
      </w:r>
      <w:r w:rsidRPr="00DB2852">
        <w:rPr>
          <w:rFonts w:ascii="Palatino Linotype" w:hAnsi="Palatino Linotype"/>
          <w:sz w:val="24"/>
        </w:rPr>
        <w:t xml:space="preserve"> – Residential </w:t>
      </w:r>
      <w:r w:rsidR="00411912">
        <w:rPr>
          <w:rFonts w:ascii="Palatino Linotype" w:hAnsi="Palatino Linotype"/>
          <w:sz w:val="24"/>
        </w:rPr>
        <w:t>s</w:t>
      </w:r>
      <w:r w:rsidRPr="00DB2852">
        <w:rPr>
          <w:rFonts w:ascii="Palatino Linotype" w:hAnsi="Palatino Linotype"/>
          <w:sz w:val="24"/>
        </w:rPr>
        <w:t xml:space="preserve">ervice that </w:t>
      </w:r>
      <w:r w:rsidR="00411912">
        <w:rPr>
          <w:rFonts w:ascii="Palatino Linotype" w:hAnsi="Palatino Linotype"/>
          <w:sz w:val="24"/>
        </w:rPr>
        <w:t>i</w:t>
      </w:r>
      <w:r w:rsidRPr="00DB2852">
        <w:rPr>
          <w:rFonts w:ascii="Palatino Linotype" w:hAnsi="Palatino Linotype"/>
          <w:sz w:val="24"/>
        </w:rPr>
        <w:t xml:space="preserve">ncludes </w:t>
      </w:r>
      <w:r w:rsidR="00411912">
        <w:rPr>
          <w:rFonts w:ascii="Palatino Linotype" w:hAnsi="Palatino Linotype"/>
          <w:sz w:val="24"/>
        </w:rPr>
        <w:t>a</w:t>
      </w:r>
      <w:r w:rsidRPr="00DB2852">
        <w:rPr>
          <w:rFonts w:ascii="Palatino Linotype" w:hAnsi="Palatino Linotype"/>
          <w:sz w:val="24"/>
        </w:rPr>
        <w:t xml:space="preserve">lleyway </w:t>
      </w:r>
      <w:r w:rsidR="00411912">
        <w:rPr>
          <w:rFonts w:ascii="Palatino Linotype" w:hAnsi="Palatino Linotype"/>
          <w:sz w:val="24"/>
        </w:rPr>
        <w:t>s</w:t>
      </w:r>
      <w:r w:rsidRPr="00DB2852">
        <w:rPr>
          <w:rFonts w:ascii="Palatino Linotype" w:hAnsi="Palatino Linotype"/>
          <w:sz w:val="24"/>
        </w:rPr>
        <w:t>ervice and Non-Residen</w:t>
      </w:r>
      <w:r w:rsidR="00DB2852">
        <w:rPr>
          <w:rFonts w:ascii="Palatino Linotype" w:hAnsi="Palatino Linotype"/>
          <w:sz w:val="24"/>
        </w:rPr>
        <w:t>tial service. The C</w:t>
      </w:r>
      <w:r w:rsidR="00DB2852" w:rsidRPr="00DB2852">
        <w:rPr>
          <w:rFonts w:ascii="Palatino Linotype" w:hAnsi="Palatino Linotype"/>
          <w:sz w:val="24"/>
        </w:rPr>
        <w:t>ity will offer an exclusive commercial franchise to the contractor</w:t>
      </w:r>
      <w:r w:rsidR="00DB2852">
        <w:rPr>
          <w:rFonts w:ascii="Palatino Linotype" w:hAnsi="Palatino Linotype"/>
          <w:sz w:val="24"/>
        </w:rPr>
        <w:t xml:space="preserve"> in three years</w:t>
      </w:r>
      <w:r w:rsidR="00DB2852" w:rsidRPr="00DB2852">
        <w:rPr>
          <w:rFonts w:ascii="Palatino Linotype" w:hAnsi="Palatino Linotype"/>
          <w:sz w:val="24"/>
        </w:rPr>
        <w:t xml:space="preserve">.  </w:t>
      </w:r>
    </w:p>
    <w:p w:rsidR="00DB2852" w:rsidRDefault="0061417E" w:rsidP="00DB2852">
      <w:pPr>
        <w:spacing w:before="240" w:line="240" w:lineRule="auto"/>
        <w:rPr>
          <w:rFonts w:ascii="Palatino Linotype" w:hAnsi="Palatino Linotype"/>
          <w:sz w:val="24"/>
          <w:u w:val="single"/>
        </w:rPr>
      </w:pPr>
      <w:r>
        <w:rPr>
          <w:rFonts w:ascii="Palatino Linotype" w:hAnsi="Palatino Linotype"/>
          <w:sz w:val="24"/>
          <w:u w:val="single"/>
        </w:rPr>
        <w:t>Recommendation</w:t>
      </w:r>
    </w:p>
    <w:p w:rsidR="00DB2852" w:rsidRDefault="0061417E" w:rsidP="00DB2852">
      <w:pPr>
        <w:spacing w:before="240" w:line="240" w:lineRule="auto"/>
        <w:rPr>
          <w:rFonts w:ascii="Palatino Linotype" w:hAnsi="Palatino Linotype"/>
          <w:sz w:val="24"/>
        </w:rPr>
      </w:pPr>
      <w:r>
        <w:rPr>
          <w:rFonts w:ascii="Palatino Linotype" w:hAnsi="Palatino Linotype"/>
          <w:sz w:val="24"/>
        </w:rPr>
        <w:t xml:space="preserve">The </w:t>
      </w:r>
      <w:r w:rsidR="00DB2852">
        <w:rPr>
          <w:rFonts w:ascii="Palatino Linotype" w:hAnsi="Palatino Linotype"/>
          <w:sz w:val="24"/>
        </w:rPr>
        <w:t>Proposal Committee recommends the City Commission select Waste Management of South Florida as the Most Responsive and Responsible Bidder</w:t>
      </w:r>
      <w:r w:rsidR="000F2407">
        <w:rPr>
          <w:rFonts w:ascii="Palatino Linotype" w:hAnsi="Palatino Linotype"/>
          <w:sz w:val="24"/>
        </w:rPr>
        <w:t xml:space="preserve"> in all categories</w:t>
      </w:r>
      <w:r w:rsidR="00DB2852">
        <w:rPr>
          <w:rFonts w:ascii="Palatino Linotype" w:hAnsi="Palatino Linotype"/>
          <w:sz w:val="24"/>
        </w:rPr>
        <w:t xml:space="preserve">. </w:t>
      </w:r>
    </w:p>
    <w:p w:rsidR="007E4592" w:rsidRDefault="007E4592" w:rsidP="0061417E">
      <w:pPr>
        <w:spacing w:before="240" w:line="240" w:lineRule="auto"/>
        <w:rPr>
          <w:rFonts w:ascii="Palatino Linotype" w:hAnsi="Palatino Linotype"/>
          <w:sz w:val="24"/>
        </w:rPr>
      </w:pPr>
    </w:p>
    <w:p w:rsidR="007E4592" w:rsidRPr="007E4592" w:rsidRDefault="007E4592" w:rsidP="00E32847">
      <w:pPr>
        <w:spacing w:before="240" w:line="240" w:lineRule="auto"/>
        <w:rPr>
          <w:rFonts w:ascii="Palatino Linotype" w:hAnsi="Palatino Linotype"/>
          <w:sz w:val="20"/>
          <w:szCs w:val="20"/>
        </w:rPr>
      </w:pPr>
      <w:r w:rsidRPr="007E4592">
        <w:rPr>
          <w:rFonts w:ascii="Palatino Linotype" w:hAnsi="Palatino Linotype"/>
          <w:sz w:val="20"/>
          <w:szCs w:val="20"/>
        </w:rPr>
        <w:t>Attachments: Proposal Committee’s August Recommendation to the City Manager</w:t>
      </w:r>
    </w:p>
    <w:sectPr w:rsidR="007E4592" w:rsidRPr="007E4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B97"/>
    <w:multiLevelType w:val="hybridMultilevel"/>
    <w:tmpl w:val="B3B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E18B3"/>
    <w:multiLevelType w:val="hybridMultilevel"/>
    <w:tmpl w:val="9C526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027207"/>
    <w:multiLevelType w:val="hybridMultilevel"/>
    <w:tmpl w:val="78BA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67A8E"/>
    <w:multiLevelType w:val="hybridMultilevel"/>
    <w:tmpl w:val="F9B2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350DC"/>
    <w:multiLevelType w:val="hybridMultilevel"/>
    <w:tmpl w:val="9264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B3"/>
    <w:rsid w:val="00034B87"/>
    <w:rsid w:val="000801AD"/>
    <w:rsid w:val="000F2407"/>
    <w:rsid w:val="00125E11"/>
    <w:rsid w:val="001B6399"/>
    <w:rsid w:val="001E5D00"/>
    <w:rsid w:val="00205EEF"/>
    <w:rsid w:val="002347F3"/>
    <w:rsid w:val="00292201"/>
    <w:rsid w:val="002B4F34"/>
    <w:rsid w:val="002E277F"/>
    <w:rsid w:val="00333A9A"/>
    <w:rsid w:val="00364E56"/>
    <w:rsid w:val="00371EF8"/>
    <w:rsid w:val="003A0072"/>
    <w:rsid w:val="003A3E45"/>
    <w:rsid w:val="00411912"/>
    <w:rsid w:val="00425AC9"/>
    <w:rsid w:val="004747CE"/>
    <w:rsid w:val="004E0F40"/>
    <w:rsid w:val="00557F76"/>
    <w:rsid w:val="0061417E"/>
    <w:rsid w:val="006B7283"/>
    <w:rsid w:val="006C4402"/>
    <w:rsid w:val="00715DDB"/>
    <w:rsid w:val="00793F3E"/>
    <w:rsid w:val="007E4592"/>
    <w:rsid w:val="00867F5E"/>
    <w:rsid w:val="008A6C6B"/>
    <w:rsid w:val="008D3F4D"/>
    <w:rsid w:val="00963A7D"/>
    <w:rsid w:val="00973AC7"/>
    <w:rsid w:val="0099400E"/>
    <w:rsid w:val="00A80116"/>
    <w:rsid w:val="00AC4BA5"/>
    <w:rsid w:val="00B00C9F"/>
    <w:rsid w:val="00B117FB"/>
    <w:rsid w:val="00B274E4"/>
    <w:rsid w:val="00B72FDE"/>
    <w:rsid w:val="00BD6F3A"/>
    <w:rsid w:val="00BF2BA5"/>
    <w:rsid w:val="00C441A1"/>
    <w:rsid w:val="00D13ACD"/>
    <w:rsid w:val="00D41397"/>
    <w:rsid w:val="00D420CE"/>
    <w:rsid w:val="00D44365"/>
    <w:rsid w:val="00DB2852"/>
    <w:rsid w:val="00DF2F07"/>
    <w:rsid w:val="00E125B3"/>
    <w:rsid w:val="00E32847"/>
    <w:rsid w:val="00E4544A"/>
    <w:rsid w:val="00E97E61"/>
    <w:rsid w:val="00EA6845"/>
    <w:rsid w:val="00F345C2"/>
    <w:rsid w:val="00F951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F5E"/>
    <w:pPr>
      <w:ind w:left="720"/>
      <w:contextualSpacing/>
    </w:pPr>
  </w:style>
  <w:style w:type="paragraph" w:styleId="BalloonText">
    <w:name w:val="Balloon Text"/>
    <w:basedOn w:val="Normal"/>
    <w:link w:val="BalloonTextChar"/>
    <w:uiPriority w:val="99"/>
    <w:semiHidden/>
    <w:unhideWhenUsed/>
    <w:rsid w:val="00034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F5E"/>
    <w:pPr>
      <w:ind w:left="720"/>
      <w:contextualSpacing/>
    </w:pPr>
  </w:style>
  <w:style w:type="paragraph" w:styleId="BalloonText">
    <w:name w:val="Balloon Text"/>
    <w:basedOn w:val="Normal"/>
    <w:link w:val="BalloonTextChar"/>
    <w:uiPriority w:val="99"/>
    <w:semiHidden/>
    <w:unhideWhenUsed/>
    <w:rsid w:val="00034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Donnelly</dc:creator>
  <cp:lastModifiedBy>Stilson, Louise</cp:lastModifiedBy>
  <cp:revision>2</cp:revision>
  <cp:lastPrinted>2015-09-02T21:38:00Z</cp:lastPrinted>
  <dcterms:created xsi:type="dcterms:W3CDTF">2015-09-03T12:29:00Z</dcterms:created>
  <dcterms:modified xsi:type="dcterms:W3CDTF">2015-09-03T12:29:00Z</dcterms:modified>
</cp:coreProperties>
</file>